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left"/>
        <w:rPr>
          <w:rFonts w:ascii="Arial" w:hAnsi="Arial" w:eastAsia="Arial" w:cs="Arial"/>
          <w:sz w:val="20"/>
          <w:szCs w:val="20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left"/>
        <w:rPr>
          <w:rFonts w:ascii="Arial" w:hAnsi="Arial" w:eastAsia="Arial" w:cs="Arial"/>
          <w:sz w:val="20"/>
          <w:szCs w:val="20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3" w:line="360" w:lineRule="auto"/>
        <w:jc w:val="center"/>
        <w:rPr>
          <w:rFonts w:hint="eastAsia" w:ascii="宋体" w:hAnsi="宋体" w:eastAsia="宋体" w:cs="宋体"/>
          <w:b/>
          <w:bCs/>
          <w:color w:val="auto"/>
          <w:spacing w:val="-8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80"/>
          <w:sz w:val="44"/>
          <w:szCs w:val="44"/>
          <w:highlight w:val="none"/>
          <w:lang w:val="en-US" w:eastAsia="zh-CN"/>
        </w:rPr>
        <w:t>朔州经济开发区国库支付中心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3" w:line="360" w:lineRule="auto"/>
        <w:jc w:val="center"/>
        <w:rPr>
          <w:rFonts w:ascii="宋体" w:hAnsi="宋体" w:eastAsia="宋体" w:cs="宋体"/>
          <w:b/>
          <w:bCs/>
          <w:spacing w:val="7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7"/>
          <w:sz w:val="44"/>
          <w:szCs w:val="44"/>
          <w:lang w:eastAsia="zh-CN"/>
        </w:rPr>
        <w:t>20</w:t>
      </w:r>
      <w:r>
        <w:rPr>
          <w:rFonts w:hint="eastAsia" w:ascii="宋体" w:hAnsi="宋体" w:eastAsia="宋体" w:cs="宋体"/>
          <w:b/>
          <w:bCs/>
          <w:spacing w:val="7"/>
          <w:sz w:val="44"/>
          <w:szCs w:val="44"/>
          <w:lang w:val="en-US" w:eastAsia="zh-CN"/>
        </w:rPr>
        <w:t>21</w:t>
      </w: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年度部门</w:t>
      </w:r>
      <w:r>
        <w:rPr>
          <w:rFonts w:hint="eastAsia" w:ascii="宋体" w:hAnsi="宋体" w:eastAsia="宋体" w:cs="宋体"/>
          <w:b/>
          <w:bCs/>
          <w:spacing w:val="7"/>
          <w:sz w:val="44"/>
          <w:szCs w:val="44"/>
          <w:lang w:val="en-US" w:eastAsia="zh-CN"/>
        </w:rPr>
        <w:t>决</w:t>
      </w:r>
      <w:r>
        <w:rPr>
          <w:rFonts w:ascii="宋体" w:hAnsi="宋体" w:eastAsia="宋体" w:cs="宋体"/>
          <w:b/>
          <w:bCs/>
          <w:spacing w:val="7"/>
          <w:sz w:val="44"/>
          <w:szCs w:val="44"/>
        </w:rPr>
        <w:t>算</w:t>
      </w:r>
    </w:p>
    <w:sdt>
      <w:sdtPr>
        <w:rPr>
          <w:rFonts w:ascii="宋体" w:hAnsi="宋体" w:eastAsia="宋体" w:cs="Arial"/>
          <w:snapToGrid w:val="0"/>
          <w:color w:val="000000"/>
          <w:kern w:val="0"/>
          <w:sz w:val="44"/>
          <w:szCs w:val="44"/>
        </w:rPr>
        <w:id w:val="147457965"/>
        <w15:color w:val="DBDBDB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napToGrid w:val="0"/>
          <w:color w:val="000000"/>
          <w:kern w:val="0"/>
          <w:sz w:val="20"/>
          <w:szCs w:val="20"/>
        </w:rPr>
      </w:sdtEndPr>
      <w:sdtContent>
        <w:p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sz w:val="40"/>
              <w:szCs w:val="40"/>
            </w:rPr>
          </w:pPr>
          <w:r>
            <w:rPr>
              <w:rFonts w:ascii="宋体" w:hAnsi="宋体" w:eastAsia="宋体"/>
              <w:sz w:val="40"/>
              <w:szCs w:val="40"/>
            </w:rPr>
            <w:t>目录</w:t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TOC \o "1-3" \h \u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_Toc10904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黑体" w:hAnsi="黑体" w:eastAsia="黑体" w:cs="黑体"/>
              <w:spacing w:val="-7"/>
              <w:sz w:val="28"/>
              <w:szCs w:val="44"/>
            </w:rPr>
            <w:t>第一部分</w:t>
          </w:r>
          <w:r>
            <w:rPr>
              <w:rFonts w:ascii="黑体" w:hAnsi="黑体" w:eastAsia="黑体" w:cs="黑体"/>
              <w:spacing w:val="10"/>
              <w:sz w:val="28"/>
              <w:szCs w:val="44"/>
            </w:rPr>
            <w:t xml:space="preserve">  </w:t>
          </w:r>
          <w:r>
            <w:rPr>
              <w:rFonts w:ascii="黑体" w:hAnsi="黑体" w:eastAsia="黑体" w:cs="黑体"/>
              <w:spacing w:val="-7"/>
              <w:sz w:val="28"/>
              <w:szCs w:val="44"/>
            </w:rPr>
            <w:t>概况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_Toc10904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_Toc9033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楷体" w:hAnsi="楷体" w:eastAsia="楷体" w:cs="楷体"/>
              <w:spacing w:val="-5"/>
              <w:sz w:val="28"/>
              <w:szCs w:val="44"/>
            </w:rPr>
            <w:t>一、</w:t>
          </w:r>
          <w:r>
            <w:rPr>
              <w:rFonts w:ascii="楷体" w:hAnsi="楷体" w:eastAsia="楷体" w:cs="楷体"/>
              <w:spacing w:val="-63"/>
              <w:sz w:val="28"/>
              <w:szCs w:val="44"/>
            </w:rPr>
            <w:t xml:space="preserve"> </w:t>
          </w:r>
          <w:r>
            <w:rPr>
              <w:rFonts w:ascii="楷体" w:hAnsi="楷体" w:eastAsia="楷体" w:cs="楷体"/>
              <w:spacing w:val="-5"/>
              <w:sz w:val="28"/>
              <w:szCs w:val="44"/>
            </w:rPr>
            <w:t>本部门职责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_Toc9033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_Toc32438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hint="eastAsia" w:ascii="楷体" w:hAnsi="楷体" w:eastAsia="楷体" w:cs="楷体"/>
              <w:spacing w:val="-2"/>
              <w:sz w:val="28"/>
              <w:szCs w:val="44"/>
            </w:rPr>
            <w:t xml:space="preserve">二、 </w:t>
          </w:r>
          <w:r>
            <w:rPr>
              <w:rFonts w:ascii="楷体" w:hAnsi="楷体" w:eastAsia="楷体" w:cs="楷体"/>
              <w:spacing w:val="-2"/>
              <w:sz w:val="28"/>
              <w:szCs w:val="44"/>
            </w:rPr>
            <w:t>机构设置情况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_Toc32438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_Toc15140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hint="eastAsia" w:ascii="黑体" w:hAnsi="黑体" w:eastAsia="黑体" w:cs="黑体"/>
              <w:snapToGrid w:val="0"/>
              <w:spacing w:val="-4"/>
              <w:kern w:val="0"/>
              <w:sz w:val="28"/>
              <w:szCs w:val="44"/>
              <w:lang w:eastAsia="zh-CN"/>
            </w:rPr>
            <w:t>第二部分</w:t>
          </w:r>
          <w:r>
            <w:rPr>
              <w:rFonts w:hint="eastAsia" w:ascii="黑体" w:hAnsi="黑体" w:eastAsia="黑体" w:cs="黑体"/>
              <w:snapToGrid w:val="0"/>
              <w:spacing w:val="-4"/>
              <w:kern w:val="0"/>
              <w:sz w:val="28"/>
              <w:szCs w:val="44"/>
              <w:lang w:val="en-US" w:eastAsia="zh-CN"/>
            </w:rPr>
            <w:t>2021</w:t>
          </w:r>
          <w:r>
            <w:rPr>
              <w:rFonts w:ascii="黑体" w:hAnsi="黑体" w:eastAsia="黑体" w:cs="黑体"/>
              <w:snapToGrid w:val="0"/>
              <w:spacing w:val="-4"/>
              <w:kern w:val="0"/>
              <w:sz w:val="28"/>
              <w:szCs w:val="44"/>
            </w:rPr>
            <w:t xml:space="preserve"> 年度部门决算表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_Toc15140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_Toc31783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黑体" w:hAnsi="黑体" w:eastAsia="黑体" w:cs="黑体"/>
              <w:spacing w:val="-4"/>
              <w:sz w:val="28"/>
              <w:szCs w:val="44"/>
            </w:rPr>
            <w:t>第三部分</w:t>
          </w:r>
          <w:r>
            <w:rPr>
              <w:rFonts w:ascii="黑体" w:hAnsi="黑体" w:eastAsia="黑体" w:cs="黑体"/>
              <w:spacing w:val="16"/>
              <w:sz w:val="28"/>
              <w:szCs w:val="44"/>
            </w:rPr>
            <w:t xml:space="preserve">  </w:t>
          </w:r>
          <w:r>
            <w:rPr>
              <w:rFonts w:hint="eastAsia" w:ascii="黑体" w:hAnsi="黑体" w:eastAsia="黑体" w:cs="黑体"/>
              <w:spacing w:val="-4"/>
              <w:sz w:val="28"/>
              <w:szCs w:val="44"/>
              <w:lang w:val="en-US" w:eastAsia="zh-CN"/>
            </w:rPr>
            <w:t>2021</w:t>
          </w:r>
          <w:r>
            <w:rPr>
              <w:rFonts w:ascii="黑体" w:hAnsi="黑体" w:eastAsia="黑体" w:cs="黑体"/>
              <w:spacing w:val="-61"/>
              <w:sz w:val="28"/>
              <w:szCs w:val="44"/>
            </w:rPr>
            <w:t xml:space="preserve"> </w:t>
          </w:r>
          <w:r>
            <w:rPr>
              <w:rFonts w:ascii="黑体" w:hAnsi="黑体" w:eastAsia="黑体" w:cs="黑体"/>
              <w:spacing w:val="-4"/>
              <w:sz w:val="28"/>
              <w:szCs w:val="44"/>
            </w:rPr>
            <w:t>年度部门决算情况说明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_Toc31783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_Toc28388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楷体" w:hAnsi="楷体" w:eastAsia="楷体" w:cs="楷体"/>
              <w:spacing w:val="-3"/>
              <w:sz w:val="28"/>
              <w:szCs w:val="44"/>
            </w:rPr>
            <w:t>一、</w:t>
          </w:r>
          <w:r>
            <w:rPr>
              <w:rFonts w:ascii="楷体" w:hAnsi="楷体" w:eastAsia="楷体" w:cs="楷体"/>
              <w:spacing w:val="-55"/>
              <w:sz w:val="28"/>
              <w:szCs w:val="44"/>
            </w:rPr>
            <w:t xml:space="preserve"> </w:t>
          </w:r>
          <w:r>
            <w:rPr>
              <w:rFonts w:ascii="楷体" w:hAnsi="楷体" w:eastAsia="楷体" w:cs="楷体"/>
              <w:spacing w:val="-3"/>
              <w:sz w:val="28"/>
              <w:szCs w:val="44"/>
            </w:rPr>
            <w:t>收入支出决算总体情况说明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_Toc28388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_Toc27473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hint="eastAsia" w:ascii="楷体" w:hAnsi="楷体" w:eastAsia="楷体" w:cs="楷体"/>
              <w:spacing w:val="-2"/>
              <w:sz w:val="28"/>
              <w:szCs w:val="44"/>
              <w:lang w:eastAsia="zh-CN"/>
            </w:rPr>
            <w:t>二、</w:t>
          </w:r>
          <w:r>
            <w:rPr>
              <w:rFonts w:ascii="楷体" w:hAnsi="楷体" w:eastAsia="楷体" w:cs="楷体"/>
              <w:spacing w:val="-2"/>
              <w:sz w:val="28"/>
              <w:szCs w:val="44"/>
            </w:rPr>
            <w:t>收入决算情况说明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_Toc27473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_Toc22100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楷体" w:hAnsi="楷体" w:eastAsia="楷体" w:cs="楷体"/>
              <w:spacing w:val="-2"/>
              <w:sz w:val="28"/>
              <w:szCs w:val="44"/>
            </w:rPr>
            <w:t>三、支出决算情况说明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_Toc22100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_Toc6617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hint="eastAsia" w:ascii="楷体" w:hAnsi="楷体" w:eastAsia="楷体" w:cs="楷体"/>
              <w:spacing w:val="-2"/>
              <w:sz w:val="28"/>
              <w:szCs w:val="44"/>
              <w:lang w:eastAsia="zh-CN"/>
            </w:rPr>
            <w:t>四、</w:t>
          </w:r>
          <w:r>
            <w:rPr>
              <w:rFonts w:ascii="楷体" w:hAnsi="楷体" w:eastAsia="楷体" w:cs="楷体"/>
              <w:spacing w:val="-2"/>
              <w:sz w:val="28"/>
              <w:szCs w:val="44"/>
            </w:rPr>
            <w:t>财政拨款收入支出决算总体情况说明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_Toc6617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_Toc4425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楷体" w:hAnsi="楷体" w:eastAsia="楷体" w:cs="楷体"/>
              <w:spacing w:val="-1"/>
              <w:sz w:val="28"/>
              <w:szCs w:val="44"/>
            </w:rPr>
            <w:t>五、一般公共预算财政拨款支出决算情况说明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_Toc4425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2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_Toc13803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楷体" w:hAnsi="楷体" w:eastAsia="楷体" w:cs="楷体"/>
              <w:spacing w:val="-11"/>
              <w:sz w:val="28"/>
              <w:szCs w:val="44"/>
            </w:rPr>
            <w:t>（一）</w:t>
          </w:r>
          <w:r>
            <w:rPr>
              <w:rFonts w:hint="eastAsia" w:ascii="楷体" w:hAnsi="楷体" w:eastAsia="楷体" w:cs="楷体"/>
              <w:spacing w:val="-11"/>
              <w:sz w:val="28"/>
              <w:szCs w:val="44"/>
              <w:lang w:eastAsia="zh-CN"/>
            </w:rPr>
            <w:t>一般公共</w:t>
          </w:r>
          <w:r>
            <w:rPr>
              <w:rFonts w:ascii="楷体" w:hAnsi="楷体" w:eastAsia="楷体" w:cs="楷体"/>
              <w:spacing w:val="-11"/>
              <w:sz w:val="28"/>
              <w:szCs w:val="44"/>
            </w:rPr>
            <w:t>财政拨款支出决算总体情况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_Toc13803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2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_Toc29794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楷体" w:hAnsi="楷体" w:eastAsia="楷体" w:cs="楷体"/>
              <w:spacing w:val="-11"/>
              <w:sz w:val="28"/>
              <w:szCs w:val="44"/>
            </w:rPr>
            <w:t>（二）</w:t>
          </w:r>
          <w:r>
            <w:rPr>
              <w:rFonts w:hint="eastAsia" w:ascii="楷体" w:hAnsi="楷体" w:eastAsia="楷体" w:cs="楷体"/>
              <w:spacing w:val="-11"/>
              <w:sz w:val="28"/>
              <w:szCs w:val="44"/>
              <w:lang w:eastAsia="zh-CN"/>
            </w:rPr>
            <w:t>一般公共预算</w:t>
          </w:r>
          <w:r>
            <w:rPr>
              <w:rFonts w:ascii="楷体" w:hAnsi="楷体" w:eastAsia="楷体" w:cs="楷体"/>
              <w:spacing w:val="-11"/>
              <w:sz w:val="28"/>
              <w:szCs w:val="44"/>
            </w:rPr>
            <w:t>财政拨款支出决算结构情况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_Toc29794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2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_Toc3162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楷体" w:hAnsi="楷体" w:eastAsia="楷体" w:cs="楷体"/>
              <w:spacing w:val="-11"/>
              <w:sz w:val="28"/>
              <w:szCs w:val="44"/>
            </w:rPr>
            <w:t>（三）</w:t>
          </w:r>
          <w:r>
            <w:rPr>
              <w:rFonts w:hint="eastAsia" w:ascii="楷体" w:hAnsi="楷体" w:eastAsia="楷体" w:cs="楷体"/>
              <w:spacing w:val="-11"/>
              <w:sz w:val="28"/>
              <w:szCs w:val="44"/>
              <w:lang w:eastAsia="zh-CN"/>
            </w:rPr>
            <w:t>一般公共预算</w:t>
          </w:r>
          <w:r>
            <w:rPr>
              <w:rFonts w:ascii="楷体" w:hAnsi="楷体" w:eastAsia="楷体" w:cs="楷体"/>
              <w:spacing w:val="-11"/>
              <w:sz w:val="28"/>
              <w:szCs w:val="44"/>
            </w:rPr>
            <w:t>财政拨款支出决算具体情况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_Toc3162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_Toc266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楷体" w:hAnsi="楷体" w:eastAsia="楷体" w:cs="楷体"/>
              <w:spacing w:val="-2"/>
              <w:sz w:val="28"/>
              <w:szCs w:val="44"/>
            </w:rPr>
            <w:t>六、一般公共预算财政拨款基本支出决算情况说明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_Toc266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_Toc2342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楷体" w:hAnsi="楷体" w:eastAsia="楷体" w:cs="楷体"/>
              <w:spacing w:val="-4"/>
              <w:sz w:val="28"/>
              <w:szCs w:val="44"/>
            </w:rPr>
            <w:t>七、一般公共预算财政拨款</w:t>
          </w:r>
          <w:r>
            <w:rPr>
              <w:rFonts w:ascii="楷体" w:hAnsi="楷体" w:eastAsia="楷体" w:cs="楷体"/>
              <w:spacing w:val="64"/>
              <w:sz w:val="28"/>
              <w:szCs w:val="44"/>
            </w:rPr>
            <w:t xml:space="preserve"> </w:t>
          </w:r>
          <w:r>
            <w:rPr>
              <w:rFonts w:ascii="楷体" w:hAnsi="楷体" w:eastAsia="楷体" w:cs="楷体"/>
              <w:spacing w:val="-4"/>
              <w:sz w:val="28"/>
              <w:szCs w:val="44"/>
            </w:rPr>
            <w:t>“三公”经费支出决算</w:t>
          </w:r>
          <w:r>
            <w:rPr>
              <w:rFonts w:ascii="仿宋" w:hAnsi="仿宋" w:eastAsia="仿宋" w:cs="仿宋"/>
              <w:spacing w:val="-9"/>
              <w:sz w:val="28"/>
              <w:szCs w:val="44"/>
            </w:rPr>
            <w:t>情 况说明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_Toc2342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_Toc10872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hint="eastAsia" w:ascii="楷体" w:hAnsi="楷体" w:eastAsia="楷体" w:cs="楷体"/>
              <w:spacing w:val="-4"/>
              <w:sz w:val="28"/>
              <w:szCs w:val="44"/>
              <w:lang w:eastAsia="zh-CN"/>
            </w:rPr>
            <w:t>八、 政府性基金预算收入支出决算情况说明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_Toc10872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8"/>
              <w:szCs w:val="28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_Toc5370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hint="eastAsia" w:ascii="楷体" w:hAnsi="楷体" w:eastAsia="楷体" w:cs="楷体"/>
              <w:spacing w:val="-1"/>
              <w:sz w:val="28"/>
              <w:szCs w:val="44"/>
              <w:lang w:eastAsia="zh-CN"/>
            </w:rPr>
            <w:t>九</w:t>
          </w:r>
          <w:r>
            <w:rPr>
              <w:rFonts w:ascii="楷体" w:hAnsi="楷体" w:eastAsia="楷体" w:cs="楷体"/>
              <w:spacing w:val="-1"/>
              <w:sz w:val="28"/>
              <w:szCs w:val="44"/>
            </w:rPr>
            <w:t>、其他重要事项情况说明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_Toc5370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tabs>
              <w:tab w:val="right" w:leader="dot" w:pos="8336"/>
            </w:tabs>
            <w:wordWrap/>
            <w:overflowPunct/>
            <w:topLinePunct w:val="0"/>
            <w:bidi w:val="0"/>
            <w:spacing w:line="360" w:lineRule="auto"/>
            <w:rPr>
              <w:sz w:val="20"/>
              <w:szCs w:val="20"/>
            </w:rPr>
          </w:pPr>
          <w:r>
            <w:rPr>
              <w:sz w:val="28"/>
              <w:szCs w:val="44"/>
            </w:rPr>
            <w:fldChar w:fldCharType="begin"/>
          </w:r>
          <w:r>
            <w:rPr>
              <w:sz w:val="28"/>
              <w:szCs w:val="44"/>
            </w:rPr>
            <w:instrText xml:space="preserve"> HYPERLINK \l _Toc6462 </w:instrText>
          </w:r>
          <w:r>
            <w:rPr>
              <w:sz w:val="28"/>
              <w:szCs w:val="44"/>
            </w:rPr>
            <w:fldChar w:fldCharType="separate"/>
          </w:r>
          <w:r>
            <w:rPr>
              <w:rFonts w:ascii="黑体" w:hAnsi="黑体" w:eastAsia="黑体" w:cs="黑体"/>
              <w:spacing w:val="-5"/>
              <w:sz w:val="28"/>
              <w:szCs w:val="44"/>
            </w:rPr>
            <w:t>第四部分</w:t>
          </w:r>
          <w:r>
            <w:rPr>
              <w:rFonts w:ascii="黑体" w:hAnsi="黑体" w:eastAsia="黑体" w:cs="黑体"/>
              <w:spacing w:val="9"/>
              <w:sz w:val="28"/>
              <w:szCs w:val="44"/>
            </w:rPr>
            <w:t xml:space="preserve">  </w:t>
          </w:r>
          <w:r>
            <w:rPr>
              <w:rFonts w:ascii="黑体" w:hAnsi="黑体" w:eastAsia="黑体" w:cs="黑体"/>
              <w:spacing w:val="-5"/>
              <w:sz w:val="28"/>
              <w:szCs w:val="44"/>
            </w:rPr>
            <w:t>名词解释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_Toc6462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44"/>
            </w:rPr>
            <w:fldChar w:fldCharType="end"/>
          </w:r>
        </w:p>
        <w:p>
          <w:pPr>
            <w:keepNext w:val="0"/>
            <w:keepLines w:val="0"/>
            <w:pageBreakBefore w:val="0"/>
            <w:wordWrap/>
            <w:overflowPunct/>
            <w:topLinePunct w:val="0"/>
            <w:bidi w:val="0"/>
            <w:spacing w:line="360" w:lineRule="auto"/>
            <w:jc w:val="left"/>
            <w:rPr>
              <w:sz w:val="20"/>
              <w:szCs w:val="20"/>
            </w:rPr>
            <w:sectPr>
              <w:footerReference r:id="rId3" w:type="default"/>
              <w:pgSz w:w="11906" w:h="16839"/>
              <w:pgMar w:top="1431" w:right="1785" w:bottom="1156" w:left="1785" w:header="0" w:footer="1033" w:gutter="0"/>
              <w:pgNumType w:fmt="decimal"/>
              <w:cols w:space="720" w:num="1"/>
            </w:sectPr>
          </w:pPr>
          <w:r>
            <w:rPr>
              <w:sz w:val="20"/>
              <w:szCs w:val="28"/>
            </w:rPr>
            <w:fldChar w:fldCharType="end"/>
          </w:r>
        </w:p>
      </w:sdtContent>
    </w:sdt>
    <w:p>
      <w:pPr>
        <w:keepNext w:val="0"/>
        <w:keepLines w:val="0"/>
        <w:pageBreakBefore w:val="0"/>
        <w:wordWrap/>
        <w:overflowPunct/>
        <w:topLinePunct w:val="0"/>
        <w:bidi w:val="0"/>
        <w:spacing w:before="171" w:line="360" w:lineRule="auto"/>
        <w:ind w:firstLine="678"/>
        <w:jc w:val="left"/>
        <w:outlineLvl w:val="0"/>
        <w:rPr>
          <w:rFonts w:ascii="黑体" w:hAnsi="黑体" w:eastAsia="黑体" w:cs="黑体"/>
          <w:sz w:val="28"/>
          <w:szCs w:val="28"/>
        </w:rPr>
      </w:pPr>
      <w:bookmarkStart w:id="0" w:name="_Toc10904"/>
      <w:r>
        <w:rPr>
          <w:rFonts w:ascii="黑体" w:hAnsi="黑体" w:eastAsia="黑体" w:cs="黑体"/>
          <w:spacing w:val="-7"/>
          <w:sz w:val="28"/>
          <w:szCs w:val="28"/>
        </w:rPr>
        <w:t>第一部分</w:t>
      </w:r>
      <w:r>
        <w:rPr>
          <w:rFonts w:ascii="黑体" w:hAnsi="黑体" w:eastAsia="黑体" w:cs="黑体"/>
          <w:spacing w:val="10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7"/>
          <w:sz w:val="28"/>
          <w:szCs w:val="28"/>
        </w:rPr>
        <w:t>概况</w:t>
      </w:r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firstLine="733"/>
        <w:jc w:val="left"/>
        <w:outlineLvl w:val="1"/>
        <w:rPr>
          <w:rFonts w:ascii="楷体" w:hAnsi="楷体" w:eastAsia="楷体" w:cs="楷体"/>
          <w:spacing w:val="-5"/>
          <w:sz w:val="28"/>
          <w:szCs w:val="28"/>
        </w:rPr>
      </w:pPr>
      <w:bookmarkStart w:id="1" w:name="_Toc9033"/>
      <w:r>
        <w:rPr>
          <w:rFonts w:ascii="楷体" w:hAnsi="楷体" w:eastAsia="楷体" w:cs="楷体"/>
          <w:spacing w:val="-5"/>
          <w:sz w:val="28"/>
          <w:szCs w:val="28"/>
        </w:rPr>
        <w:t>一、</w:t>
      </w:r>
      <w:r>
        <w:rPr>
          <w:rFonts w:ascii="楷体" w:hAnsi="楷体" w:eastAsia="楷体" w:cs="楷体"/>
          <w:spacing w:val="-6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本部门职责</w:t>
      </w:r>
      <w:bookmarkEnd w:id="1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1338" w:leftChars="304" w:hanging="700" w:hangingChars="2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（1）深化国库集中支付管理，强化财政资金监管，规范程序管理，严格按照资金管理流程办理资金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拨付</w:t>
      </w:r>
      <w:bookmarkStart w:id="23" w:name="_GoBack"/>
      <w:bookmarkEnd w:id="23"/>
      <w:r>
        <w:rPr>
          <w:rFonts w:hint="eastAsia" w:ascii="仿宋" w:hAnsi="仿宋" w:eastAsia="仿宋"/>
          <w:color w:val="000000"/>
          <w:sz w:val="28"/>
          <w:szCs w:val="28"/>
        </w:rPr>
        <w:t>业务。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1338" w:leftChars="304" w:hanging="700" w:hangingChars="2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（2）贯彻执行财政资金的审核、支付、会计核算等工作。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1338" w:leftChars="304" w:hanging="700" w:hanging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</w:t>
      </w:r>
      <w:r>
        <w:rPr>
          <w:rFonts w:hint="eastAsia" w:ascii="仿宋" w:hAnsi="仿宋" w:eastAsia="仿宋"/>
          <w:sz w:val="28"/>
          <w:szCs w:val="28"/>
        </w:rPr>
        <w:t>根据批复的财政支付额度，接受并审核区直预算单位报销单据，及时办理支付业务；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1338" w:leftChars="304" w:hanging="700" w:hanging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</w:t>
      </w:r>
      <w:r>
        <w:rPr>
          <w:rFonts w:hint="eastAsia" w:ascii="仿宋" w:hAnsi="仿宋" w:eastAsia="仿宋"/>
          <w:sz w:val="28"/>
          <w:szCs w:val="28"/>
        </w:rPr>
        <w:t>根据审核无误单据，录入、审核、发送支付指标到代理银行</w:t>
      </w:r>
      <w:r>
        <w:rPr>
          <w:rFonts w:ascii="仿宋" w:hAnsi="仿宋" w:eastAsia="仿宋"/>
          <w:sz w:val="28"/>
          <w:szCs w:val="28"/>
        </w:rPr>
        <w:t>;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</w:t>
      </w:r>
      <w:r>
        <w:rPr>
          <w:rFonts w:hint="eastAsia" w:ascii="仿宋" w:hAnsi="仿宋" w:eastAsia="仿宋"/>
          <w:sz w:val="28"/>
          <w:szCs w:val="28"/>
        </w:rPr>
        <w:t>根据银行回执及报销凭证做账务处理</w:t>
      </w:r>
      <w:r>
        <w:rPr>
          <w:rFonts w:ascii="仿宋" w:hAnsi="仿宋" w:eastAsia="仿宋"/>
          <w:sz w:val="28"/>
          <w:szCs w:val="28"/>
        </w:rPr>
        <w:t>;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</w:t>
      </w:r>
      <w:r>
        <w:rPr>
          <w:rFonts w:hint="eastAsia" w:ascii="仿宋" w:hAnsi="仿宋" w:eastAsia="仿宋"/>
          <w:sz w:val="28"/>
          <w:szCs w:val="28"/>
        </w:rPr>
        <w:t>年底配合各预算单位完成部门决算</w:t>
      </w:r>
      <w:r>
        <w:rPr>
          <w:rFonts w:ascii="仿宋" w:hAnsi="仿宋" w:eastAsia="仿宋"/>
          <w:sz w:val="28"/>
          <w:szCs w:val="28"/>
        </w:rPr>
        <w:t>;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1338" w:leftChars="304" w:hanging="700" w:hanging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（7）</w:t>
      </w:r>
      <w:r>
        <w:rPr>
          <w:rFonts w:hint="eastAsia" w:ascii="仿宋" w:hAnsi="仿宋" w:eastAsia="仿宋"/>
          <w:sz w:val="28"/>
          <w:szCs w:val="28"/>
        </w:rPr>
        <w:t>积极推进国库管理制度改革，加强对各项财政资金的管理，确保资金安全；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（8）</w:t>
      </w:r>
      <w:r>
        <w:rPr>
          <w:rFonts w:hint="eastAsia" w:ascii="仿宋" w:hAnsi="仿宋" w:eastAsia="仿宋"/>
          <w:sz w:val="28"/>
          <w:szCs w:val="28"/>
        </w:rPr>
        <w:t>管理预算单位财务档案，建立档案查阅登记制度。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1440" w:hanging="1260" w:hangingChars="4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（9）</w:t>
      </w:r>
      <w:r>
        <w:rPr>
          <w:rFonts w:hint="eastAsia" w:ascii="仿宋" w:hAnsi="仿宋" w:eastAsia="仿宋"/>
          <w:sz w:val="28"/>
          <w:szCs w:val="28"/>
        </w:rPr>
        <w:t>贯彻执行国有资本金基础管理的方针、政策、改革方案、规章制度、管理办法。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1440" w:hanging="1260" w:hangingChars="4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（10）</w:t>
      </w:r>
      <w:r>
        <w:rPr>
          <w:rFonts w:hint="eastAsia" w:ascii="仿宋" w:hAnsi="仿宋" w:eastAsia="仿宋"/>
          <w:sz w:val="28"/>
          <w:szCs w:val="28"/>
        </w:rPr>
        <w:t>办理和监督区级财政的各项经济发展支出、区投资项目的财政拨款，管理区级财政公共支出。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（11）</w:t>
      </w:r>
      <w:r>
        <w:rPr>
          <w:rFonts w:hint="eastAsia" w:ascii="仿宋" w:hAnsi="仿宋" w:eastAsia="仿宋"/>
          <w:sz w:val="28"/>
          <w:szCs w:val="28"/>
        </w:rPr>
        <w:t>贯彻执行国家关于国内债务和政府外债管理的各项方针、政策、规章制度和管理办法。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1472" w:leftChars="301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（12）</w:t>
      </w:r>
      <w:r>
        <w:rPr>
          <w:rFonts w:hint="eastAsia" w:ascii="仿宋" w:hAnsi="仿宋" w:eastAsia="仿宋"/>
          <w:sz w:val="28"/>
          <w:szCs w:val="28"/>
        </w:rPr>
        <w:t>管理和指导全区会计工作，监督执行会计规章制度，贯彻执行《企业会计准则》，监督执行政府总预算、行政和事业单位及分行业的会计制度，拟订和组织执行全区会计管理工作的条例、规章制度及补充规定；落实会计委派制度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1600" w:hanging="1400" w:hangingChars="5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（13）</w:t>
      </w:r>
      <w:r>
        <w:rPr>
          <w:rFonts w:hint="eastAsia" w:ascii="仿宋" w:hAnsi="仿宋" w:eastAsia="仿宋"/>
          <w:sz w:val="28"/>
          <w:szCs w:val="28"/>
        </w:rPr>
        <w:t>制定全区财政科学研究和财政教育规划，组织全区财务人才培训，负责财务信息和财务宣传工</w:t>
      </w:r>
      <w:r>
        <w:rPr>
          <w:rFonts w:hint="eastAsia" w:ascii="仿宋" w:hAnsi="仿宋" w:eastAsia="仿宋"/>
          <w:sz w:val="28"/>
          <w:szCs w:val="28"/>
          <w:lang w:eastAsia="zh-CN"/>
        </w:rPr>
        <w:t>作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560" w:firstLineChars="200"/>
        <w:rPr>
          <w:rFonts w:hint="eastAsia" w:ascii="宋体" w:hAnsi="宋体" w:eastAsia="宋体" w:cstheme="majorBidi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（14）</w:t>
      </w:r>
      <w:r>
        <w:rPr>
          <w:rFonts w:hint="eastAsia" w:ascii="仿宋" w:hAnsi="仿宋" w:eastAsia="仿宋"/>
          <w:sz w:val="28"/>
          <w:szCs w:val="28"/>
        </w:rPr>
        <w:t>党工委、管委会、财政局交办的其他工作。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before="284" w:line="360" w:lineRule="auto"/>
        <w:ind w:firstLine="566"/>
        <w:jc w:val="left"/>
        <w:outlineLvl w:val="1"/>
        <w:rPr>
          <w:rFonts w:ascii="楷体" w:hAnsi="楷体" w:eastAsia="楷体" w:cs="楷体"/>
          <w:spacing w:val="-2"/>
          <w:sz w:val="28"/>
          <w:szCs w:val="28"/>
        </w:rPr>
      </w:pPr>
      <w:bookmarkStart w:id="2" w:name="_Toc32438"/>
      <w:r>
        <w:rPr>
          <w:rFonts w:ascii="楷体" w:hAnsi="楷体" w:eastAsia="楷体" w:cs="楷体"/>
          <w:spacing w:val="-2"/>
          <w:sz w:val="28"/>
          <w:szCs w:val="28"/>
        </w:rPr>
        <w:t>机构设置情况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朔州经济开发区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国库</w:t>
      </w:r>
      <w:r>
        <w:rPr>
          <w:rFonts w:hint="eastAsia" w:ascii="仿宋" w:hAnsi="仿宋" w:eastAsia="仿宋"/>
          <w:color w:val="000000"/>
          <w:sz w:val="28"/>
          <w:szCs w:val="28"/>
        </w:rPr>
        <w:t>支付中心由山西朔州经济开发区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集中支付中心</w:t>
      </w:r>
      <w:r>
        <w:rPr>
          <w:rFonts w:hint="eastAsia" w:ascii="仿宋" w:hAnsi="仿宋" w:eastAsia="仿宋"/>
          <w:color w:val="000000"/>
          <w:sz w:val="28"/>
          <w:szCs w:val="28"/>
        </w:rPr>
        <w:t>变更而成。中心现有支付大厅、数据机房以及档案室三个工作区域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color w:val="000000"/>
          <w:sz w:val="28"/>
          <w:szCs w:val="28"/>
        </w:rPr>
        <w:t>我中心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28"/>
          <w:szCs w:val="28"/>
        </w:rPr>
        <w:t>年度实有人员1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名，其中在册人员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名，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编外聘用人员1名,</w:t>
      </w:r>
      <w:r>
        <w:rPr>
          <w:rFonts w:hint="eastAsia" w:ascii="仿宋" w:hAnsi="仿宋" w:eastAsia="仿宋"/>
          <w:color w:val="000000"/>
          <w:sz w:val="28"/>
          <w:szCs w:val="28"/>
        </w:rPr>
        <w:t>劳务派遣人员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28"/>
          <w:szCs w:val="28"/>
        </w:rPr>
        <w:t>名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,临时聘用技术人员1名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left="0" w:right="0"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left="0" w:right="0"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jc w:val="center"/>
        <w:outlineLvl w:val="0"/>
        <w:rPr>
          <w:rFonts w:ascii="黑体" w:hAnsi="黑体" w:eastAsia="黑体" w:cs="黑体"/>
          <w:snapToGrid w:val="0"/>
          <w:color w:val="000000"/>
          <w:spacing w:val="-4"/>
          <w:kern w:val="0"/>
          <w:sz w:val="28"/>
          <w:szCs w:val="28"/>
        </w:rPr>
      </w:pPr>
      <w:bookmarkStart w:id="3" w:name="_Toc15140"/>
      <w:bookmarkStart w:id="4" w:name="_Toc15944"/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28"/>
          <w:szCs w:val="28"/>
          <w:lang w:eastAsia="zh-CN"/>
        </w:rPr>
        <w:t>第二部分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28"/>
          <w:szCs w:val="28"/>
          <w:lang w:val="en-US" w:eastAsia="zh-CN"/>
        </w:rPr>
        <w:t>2021</w:t>
      </w: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28"/>
          <w:szCs w:val="28"/>
        </w:rPr>
        <w:t xml:space="preserve"> 年度部门决算表</w:t>
      </w:r>
      <w:bookmarkEnd w:id="3"/>
      <w:bookmarkEnd w:id="4"/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公开01表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2021年</w:t>
      </w:r>
      <w:r>
        <w:rPr>
          <w:rFonts w:hint="eastAsia" w:ascii="仿宋" w:hAnsi="仿宋" w:eastAsia="仿宋" w:cs="仿宋"/>
          <w:sz w:val="28"/>
          <w:szCs w:val="28"/>
        </w:rPr>
        <w:t>收入支出决算表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公开02表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2021年</w:t>
      </w:r>
      <w:r>
        <w:rPr>
          <w:rFonts w:hint="eastAsia" w:ascii="仿宋" w:hAnsi="仿宋" w:eastAsia="仿宋" w:cs="仿宋"/>
          <w:sz w:val="28"/>
          <w:szCs w:val="28"/>
        </w:rPr>
        <w:t>收入决算表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公开03表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2021年</w:t>
      </w:r>
      <w:r>
        <w:rPr>
          <w:rFonts w:hint="eastAsia" w:ascii="仿宋" w:hAnsi="仿宋" w:eastAsia="仿宋" w:cs="仿宋"/>
          <w:sz w:val="28"/>
          <w:szCs w:val="28"/>
        </w:rPr>
        <w:t>支出决算表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公开04表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2021年</w:t>
      </w:r>
      <w:r>
        <w:rPr>
          <w:rFonts w:hint="eastAsia" w:ascii="仿宋" w:hAnsi="仿宋" w:eastAsia="仿宋" w:cs="仿宋"/>
          <w:sz w:val="28"/>
          <w:szCs w:val="28"/>
        </w:rPr>
        <w:t>财政拨款收入支出决算总表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公开0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2021年</w:t>
      </w:r>
      <w:r>
        <w:rPr>
          <w:rFonts w:hint="eastAsia" w:ascii="仿宋" w:hAnsi="仿宋" w:eastAsia="仿宋" w:cs="仿宋"/>
          <w:sz w:val="28"/>
          <w:szCs w:val="28"/>
        </w:rPr>
        <w:t>一般公共预算财政拨款支出决算表（一）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公开0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2021年</w:t>
      </w:r>
      <w:r>
        <w:rPr>
          <w:rFonts w:hint="eastAsia" w:ascii="仿宋" w:hAnsi="仿宋" w:eastAsia="仿宋" w:cs="仿宋"/>
          <w:sz w:val="28"/>
          <w:szCs w:val="28"/>
        </w:rPr>
        <w:t>一般公共预算财政拨款支出决算表（二）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公开0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 xml:space="preserve">表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2021年一般公共预算财政拨款“三公”经费支出决算表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公开0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 xml:space="preserve">表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2021年政府性基金预算财政拨款收入支出决算表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公开0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2021年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国有资本经营预算财政拨款支出决算表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公开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2021年部门决算公开相关信息统计表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816" w:firstLineChars="300"/>
        <w:jc w:val="center"/>
        <w:rPr>
          <w:rFonts w:ascii="黑体" w:hAnsi="黑体" w:eastAsia="黑体" w:cs="黑体"/>
          <w:snapToGrid w:val="0"/>
          <w:color w:val="000000"/>
          <w:spacing w:val="-4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816" w:firstLineChars="300"/>
        <w:jc w:val="center"/>
        <w:rPr>
          <w:rFonts w:ascii="黑体" w:hAnsi="黑体" w:eastAsia="黑体" w:cs="黑体"/>
          <w:snapToGrid w:val="0"/>
          <w:color w:val="000000"/>
          <w:spacing w:val="-4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816" w:firstLineChars="300"/>
        <w:jc w:val="center"/>
        <w:rPr>
          <w:rFonts w:ascii="黑体" w:hAnsi="黑体" w:eastAsia="黑体" w:cs="黑体"/>
          <w:snapToGrid w:val="0"/>
          <w:color w:val="000000"/>
          <w:spacing w:val="-4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816" w:firstLineChars="300"/>
        <w:jc w:val="center"/>
        <w:rPr>
          <w:rFonts w:ascii="黑体" w:hAnsi="黑体" w:eastAsia="黑体" w:cs="黑体"/>
          <w:snapToGrid w:val="0"/>
          <w:color w:val="000000"/>
          <w:spacing w:val="-4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816" w:firstLineChars="300"/>
        <w:jc w:val="center"/>
        <w:rPr>
          <w:rFonts w:ascii="黑体" w:hAnsi="黑体" w:eastAsia="黑体" w:cs="黑体"/>
          <w:snapToGrid w:val="0"/>
          <w:color w:val="000000"/>
          <w:spacing w:val="-4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816" w:firstLineChars="300"/>
        <w:jc w:val="center"/>
        <w:rPr>
          <w:rFonts w:ascii="黑体" w:hAnsi="黑体" w:eastAsia="黑体" w:cs="黑体"/>
          <w:snapToGrid w:val="0"/>
          <w:color w:val="000000"/>
          <w:spacing w:val="-4"/>
          <w:kern w:val="0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816" w:firstLineChars="300"/>
        <w:jc w:val="center"/>
        <w:rPr>
          <w:rFonts w:ascii="黑体" w:hAnsi="黑体" w:eastAsia="黑体" w:cs="黑体"/>
          <w:snapToGrid w:val="0"/>
          <w:color w:val="000000"/>
          <w:spacing w:val="-4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right="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left="0" w:right="0"/>
        <w:jc w:val="left"/>
        <w:rPr>
          <w:rFonts w:hint="eastAsia" w:ascii="仿宋" w:hAnsi="仿宋" w:eastAsia="仿宋" w:cs="仿宋"/>
          <w:spacing w:val="-37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left="0" w:right="0"/>
        <w:jc w:val="left"/>
        <w:rPr>
          <w:rFonts w:hint="eastAsia" w:ascii="仿宋" w:hAnsi="仿宋" w:eastAsia="仿宋" w:cs="仿宋"/>
          <w:spacing w:val="-37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left="0" w:right="0"/>
        <w:jc w:val="left"/>
        <w:rPr>
          <w:rFonts w:hint="eastAsia" w:ascii="仿宋" w:hAnsi="仿宋" w:eastAsia="仿宋" w:cs="仿宋"/>
          <w:spacing w:val="-37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150" w:afterAutospacing="0" w:line="360" w:lineRule="auto"/>
        <w:ind w:left="0" w:right="0"/>
        <w:jc w:val="left"/>
        <w:rPr>
          <w:rFonts w:hint="eastAsia" w:ascii="仿宋" w:hAnsi="仿宋" w:eastAsia="仿宋" w:cs="仿宋"/>
          <w:spacing w:val="-37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71" w:line="360" w:lineRule="auto"/>
        <w:ind w:firstLine="678"/>
        <w:jc w:val="left"/>
        <w:outlineLvl w:val="0"/>
        <w:rPr>
          <w:rFonts w:ascii="黑体" w:hAnsi="黑体" w:eastAsia="黑体" w:cs="黑体"/>
          <w:sz w:val="28"/>
          <w:szCs w:val="28"/>
        </w:rPr>
      </w:pPr>
      <w:bookmarkStart w:id="5" w:name="_Toc31783"/>
      <w:r>
        <w:rPr>
          <w:rFonts w:ascii="黑体" w:hAnsi="黑体" w:eastAsia="黑体" w:cs="黑体"/>
          <w:spacing w:val="-4"/>
          <w:sz w:val="28"/>
          <w:szCs w:val="28"/>
        </w:rPr>
        <w:t>第三部分</w:t>
      </w:r>
      <w:r>
        <w:rPr>
          <w:rFonts w:ascii="黑体" w:hAnsi="黑体" w:eastAsia="黑体" w:cs="黑体"/>
          <w:spacing w:val="16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2021</w:t>
      </w:r>
      <w:r>
        <w:rPr>
          <w:rFonts w:ascii="黑体" w:hAnsi="黑体" w:eastAsia="黑体" w:cs="黑体"/>
          <w:spacing w:val="-6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年度部门决算情况说明</w:t>
      </w:r>
      <w:bookmarkEnd w:id="5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firstLine="733"/>
        <w:jc w:val="left"/>
        <w:outlineLvl w:val="1"/>
        <w:rPr>
          <w:rFonts w:ascii="楷体" w:hAnsi="楷体" w:eastAsia="楷体" w:cs="楷体"/>
          <w:sz w:val="28"/>
          <w:szCs w:val="28"/>
        </w:rPr>
      </w:pPr>
      <w:bookmarkStart w:id="6" w:name="_Toc28388"/>
      <w:r>
        <w:rPr>
          <w:rFonts w:ascii="楷体" w:hAnsi="楷体" w:eastAsia="楷体" w:cs="楷体"/>
          <w:spacing w:val="-3"/>
          <w:sz w:val="28"/>
          <w:szCs w:val="28"/>
        </w:rPr>
        <w:t>一、</w:t>
      </w:r>
      <w:r>
        <w:rPr>
          <w:rFonts w:ascii="楷体" w:hAnsi="楷体" w:eastAsia="楷体" w:cs="楷体"/>
          <w:spacing w:val="-5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"/>
          <w:sz w:val="28"/>
          <w:szCs w:val="28"/>
        </w:rPr>
        <w:t>收入支出决算总体情况说明</w:t>
      </w:r>
      <w:bookmarkEnd w:id="6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left="38" w:right="20" w:firstLine="643"/>
        <w:jc w:val="left"/>
        <w:rPr>
          <w:rFonts w:ascii="仿宋" w:hAnsi="仿宋" w:eastAsia="仿宋" w:cs="仿宋"/>
          <w:spacing w:val="-1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val="en-US" w:eastAsia="zh-CN"/>
        </w:rPr>
        <w:t>2021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年</w:t>
      </w:r>
      <w:r>
        <w:rPr>
          <w:rFonts w:ascii="仿宋" w:hAnsi="仿宋" w:eastAsia="仿宋" w:cs="仿宋"/>
          <w:spacing w:val="-65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度</w:t>
      </w:r>
      <w:r>
        <w:rPr>
          <w:rFonts w:ascii="仿宋" w:hAnsi="仿宋" w:eastAsia="仿宋" w:cs="仿宋"/>
          <w:spacing w:val="-37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收</w:t>
      </w:r>
      <w:r>
        <w:rPr>
          <w:rFonts w:ascii="仿宋" w:hAnsi="仿宋" w:eastAsia="仿宋" w:cs="仿宋"/>
          <w:spacing w:val="-61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入</w:t>
      </w:r>
      <w:r>
        <w:rPr>
          <w:rFonts w:ascii="仿宋" w:hAnsi="仿宋" w:eastAsia="仿宋" w:cs="仿宋"/>
          <w:spacing w:val="-40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总</w:t>
      </w:r>
      <w:r>
        <w:rPr>
          <w:rFonts w:ascii="仿宋" w:hAnsi="仿宋" w:eastAsia="仿宋" w:cs="仿宋"/>
          <w:spacing w:val="-56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计</w:t>
      </w:r>
      <w:r>
        <w:rPr>
          <w:rFonts w:hint="eastAsia" w:ascii="仿宋" w:hAnsi="仿宋" w:eastAsia="仿宋" w:cs="仿宋"/>
          <w:spacing w:val="30"/>
          <w:sz w:val="28"/>
          <w:szCs w:val="28"/>
          <w:highlight w:val="none"/>
          <w:lang w:val="en-US" w:eastAsia="zh-CN"/>
        </w:rPr>
        <w:t>186.43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 xml:space="preserve">万 元 、 支 出 总 计 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186.43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 xml:space="preserve">万元。与 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eastAsia="zh-CN"/>
        </w:rPr>
        <w:t>20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val="en-US" w:eastAsia="zh-CN"/>
        </w:rPr>
        <w:t>20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年相比,收入总计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val="en-US" w:eastAsia="zh-CN"/>
        </w:rPr>
        <w:t>减少14.97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万元，支出总计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val="en-US" w:eastAsia="zh-CN"/>
        </w:rPr>
        <w:t>减少14.97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万元。主要原因是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</w:rPr>
        <w:t>本年度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val="en-US" w:eastAsia="zh-CN"/>
        </w:rPr>
        <w:t>劳务派遣人员工资26.86万元，增加招商奖5万元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firstLine="552" w:firstLineChars="200"/>
        <w:jc w:val="left"/>
        <w:outlineLvl w:val="1"/>
        <w:rPr>
          <w:rFonts w:ascii="楷体" w:hAnsi="楷体" w:eastAsia="楷体" w:cs="楷体"/>
          <w:spacing w:val="-2"/>
          <w:sz w:val="28"/>
          <w:szCs w:val="28"/>
        </w:rPr>
      </w:pPr>
      <w:bookmarkStart w:id="7" w:name="_Toc27473"/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二、</w:t>
      </w:r>
      <w:r>
        <w:rPr>
          <w:rFonts w:ascii="楷体" w:hAnsi="楷体" w:eastAsia="楷体" w:cs="楷体"/>
          <w:spacing w:val="-2"/>
          <w:sz w:val="28"/>
          <w:szCs w:val="28"/>
        </w:rPr>
        <w:t>收入决算情况说明</w:t>
      </w:r>
      <w:bookmarkEnd w:id="7"/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left="566" w:leftChars="0"/>
        <w:jc w:val="left"/>
        <w:rPr>
          <w:rFonts w:ascii="楷体" w:hAnsi="楷体" w:eastAsia="楷体" w:cs="楷体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ind w:left="566" w:leftChars="0" w:firstLine="576" w:firstLineChars="200"/>
        <w:jc w:val="left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本年收入</w:t>
      </w:r>
      <w:r>
        <w:rPr>
          <w:rFonts w:ascii="仿宋" w:hAnsi="仿宋" w:eastAsia="仿宋" w:cs="仿宋"/>
          <w:spacing w:val="4"/>
          <w:sz w:val="28"/>
          <w:szCs w:val="28"/>
          <w:highlight w:val="none"/>
        </w:rPr>
        <w:t>合计</w:t>
      </w:r>
      <w:r>
        <w:rPr>
          <w:rFonts w:hint="eastAsia" w:ascii="仿宋" w:hAnsi="仿宋" w:eastAsia="仿宋" w:cs="仿宋"/>
          <w:spacing w:val="30"/>
          <w:sz w:val="28"/>
          <w:szCs w:val="28"/>
          <w:highlight w:val="none"/>
          <w:lang w:val="en-US" w:eastAsia="zh-CN"/>
        </w:rPr>
        <w:t>186.43</w:t>
      </w:r>
      <w:r>
        <w:rPr>
          <w:rFonts w:ascii="仿宋" w:hAnsi="仿宋" w:eastAsia="仿宋" w:cs="仿宋"/>
          <w:spacing w:val="4"/>
          <w:sz w:val="28"/>
          <w:szCs w:val="28"/>
          <w:highlight w:val="none"/>
        </w:rPr>
        <w:t>万元，其中：财政拨款收入</w:t>
      </w:r>
      <w:r>
        <w:rPr>
          <w:rFonts w:hint="eastAsia" w:ascii="仿宋" w:hAnsi="仿宋" w:eastAsia="仿宋" w:cs="仿宋"/>
          <w:spacing w:val="30"/>
          <w:sz w:val="28"/>
          <w:szCs w:val="28"/>
          <w:highlight w:val="none"/>
          <w:lang w:val="en-US" w:eastAsia="zh-CN"/>
        </w:rPr>
        <w:t>186.4</w:t>
      </w:r>
      <w:r>
        <w:rPr>
          <w:rFonts w:ascii="仿宋" w:hAnsi="仿宋" w:eastAsia="仿宋" w:cs="仿宋"/>
          <w:spacing w:val="-6"/>
          <w:sz w:val="28"/>
          <w:szCs w:val="28"/>
        </w:rPr>
        <w:t>元;上级补助收入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0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万元</w:t>
      </w:r>
      <w:r>
        <w:rPr>
          <w:rFonts w:ascii="仿宋" w:hAnsi="仿宋" w:eastAsia="仿宋" w:cs="仿宋"/>
          <w:spacing w:val="-7"/>
          <w:sz w:val="28"/>
          <w:szCs w:val="28"/>
        </w:rPr>
        <w:t>；事业收入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7"/>
          <w:sz w:val="28"/>
          <w:szCs w:val="28"/>
        </w:rPr>
        <w:t>万元；经营收入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0万元</w:t>
      </w:r>
      <w:r>
        <w:rPr>
          <w:rFonts w:ascii="仿宋" w:hAnsi="仿宋" w:eastAsia="仿宋" w:cs="仿宋"/>
          <w:spacing w:val="4"/>
          <w:sz w:val="28"/>
          <w:szCs w:val="28"/>
        </w:rPr>
        <w:t>；附属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单</w:t>
      </w:r>
      <w:r>
        <w:rPr>
          <w:rFonts w:ascii="仿宋" w:hAnsi="仿宋" w:eastAsia="仿宋" w:cs="仿宋"/>
          <w:spacing w:val="4"/>
          <w:sz w:val="28"/>
          <w:szCs w:val="28"/>
        </w:rPr>
        <w:t>位上缴收入</w:t>
      </w:r>
      <w:r>
        <w:rPr>
          <w:rFonts w:ascii="仿宋" w:hAnsi="仿宋" w:eastAsia="仿宋" w:cs="仿宋"/>
          <w:spacing w:val="-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0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万元；其他收入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4"/>
          <w:sz w:val="28"/>
          <w:szCs w:val="28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360" w:lineRule="auto"/>
        <w:jc w:val="left"/>
        <w:rPr>
          <w:rFonts w:ascii="仿宋" w:hAnsi="仿宋" w:eastAsia="仿宋" w:cs="仿宋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728"/>
        <w:jc w:val="left"/>
        <w:outlineLvl w:val="1"/>
        <w:rPr>
          <w:rFonts w:ascii="楷体" w:hAnsi="楷体" w:eastAsia="楷体" w:cs="楷体"/>
          <w:sz w:val="28"/>
          <w:szCs w:val="28"/>
        </w:rPr>
      </w:pPr>
      <w:bookmarkStart w:id="8" w:name="_Toc22100"/>
      <w:r>
        <w:rPr>
          <w:rFonts w:ascii="楷体" w:hAnsi="楷体" w:eastAsia="楷体" w:cs="楷体"/>
          <w:spacing w:val="-2"/>
          <w:sz w:val="28"/>
          <w:szCs w:val="28"/>
        </w:rPr>
        <w:t>三、支出决算情况说明</w:t>
      </w:r>
      <w:bookmarkEnd w:id="8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left="49" w:firstLine="67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本</w:t>
      </w:r>
      <w:r>
        <w:rPr>
          <w:rFonts w:ascii="仿宋" w:hAnsi="仿宋" w:eastAsia="仿宋" w:cs="仿宋"/>
          <w:spacing w:val="-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年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支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出合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计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186.43</w:t>
      </w:r>
      <w:r>
        <w:rPr>
          <w:rFonts w:ascii="仿宋" w:hAnsi="仿宋" w:eastAsia="仿宋" w:cs="仿宋"/>
          <w:spacing w:val="-10"/>
          <w:sz w:val="28"/>
          <w:szCs w:val="28"/>
        </w:rPr>
        <w:t>万元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，</w:t>
      </w:r>
      <w:r>
        <w:rPr>
          <w:rFonts w:ascii="仿宋" w:hAnsi="仿宋" w:eastAsia="仿宋" w:cs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其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中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：基</w:t>
      </w:r>
      <w:r>
        <w:rPr>
          <w:rFonts w:ascii="仿宋" w:hAnsi="仿宋" w:eastAsia="仿宋" w:cs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本</w:t>
      </w:r>
      <w:r>
        <w:rPr>
          <w:rFonts w:ascii="仿宋" w:hAnsi="仿宋" w:eastAsia="仿宋" w:cs="仿宋"/>
          <w:spacing w:val="-8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支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77.61</w:t>
      </w:r>
      <w:r>
        <w:rPr>
          <w:rFonts w:ascii="仿宋" w:hAnsi="仿宋" w:eastAsia="仿宋" w:cs="仿宋"/>
          <w:spacing w:val="-4"/>
          <w:sz w:val="28"/>
          <w:szCs w:val="28"/>
        </w:rPr>
        <w:t>万元；项目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支出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108.82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万元，上</w:t>
      </w:r>
      <w:r>
        <w:rPr>
          <w:rFonts w:ascii="仿宋" w:hAnsi="仿宋" w:eastAsia="仿宋" w:cs="仿宋"/>
          <w:spacing w:val="-4"/>
          <w:sz w:val="28"/>
          <w:szCs w:val="28"/>
        </w:rPr>
        <w:t>缴上级支出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0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万元；经营支出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0</w:t>
      </w:r>
      <w:r>
        <w:rPr>
          <w:rFonts w:ascii="仿宋" w:hAnsi="仿宋" w:eastAsia="仿宋" w:cs="仿宋"/>
          <w:spacing w:val="-6"/>
          <w:sz w:val="28"/>
          <w:szCs w:val="28"/>
        </w:rPr>
        <w:t>万元；对附属单位补助支出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0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285" w:line="360" w:lineRule="auto"/>
        <w:ind w:left="566" w:leftChars="0"/>
        <w:jc w:val="left"/>
        <w:outlineLvl w:val="1"/>
        <w:rPr>
          <w:rFonts w:ascii="楷体" w:hAnsi="楷体" w:eastAsia="楷体" w:cs="楷体"/>
          <w:spacing w:val="-2"/>
          <w:sz w:val="28"/>
          <w:szCs w:val="28"/>
        </w:rPr>
      </w:pPr>
      <w:bookmarkStart w:id="9" w:name="_Toc6617"/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四、</w:t>
      </w:r>
      <w:r>
        <w:rPr>
          <w:rFonts w:ascii="楷体" w:hAnsi="楷体" w:eastAsia="楷体" w:cs="楷体"/>
          <w:spacing w:val="-2"/>
          <w:sz w:val="28"/>
          <w:szCs w:val="28"/>
        </w:rPr>
        <w:t>财政拨款收入支出决算总体情况说明</w:t>
      </w:r>
      <w:bookmarkEnd w:id="9"/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after="150" w:line="360" w:lineRule="auto"/>
        <w:ind w:firstLine="528" w:firstLineChars="200"/>
        <w:jc w:val="left"/>
        <w:rPr>
          <w:rFonts w:hint="default" w:ascii="仿宋" w:eastAsia="仿宋" w:cs="仿宋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2021</w:t>
      </w:r>
      <w:r>
        <w:rPr>
          <w:rFonts w:ascii="仿宋" w:hAnsi="仿宋" w:eastAsia="仿宋" w:cs="仿宋"/>
          <w:spacing w:val="-8"/>
          <w:sz w:val="28"/>
          <w:szCs w:val="28"/>
        </w:rPr>
        <w:t>年度财政拨款收入总计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  <w:lang w:val="en-US" w:eastAsia="zh-CN"/>
        </w:rPr>
        <w:t>186.43</w:t>
      </w:r>
      <w:r>
        <w:rPr>
          <w:rFonts w:ascii="仿宋" w:hAnsi="仿宋" w:eastAsia="仿宋" w:cs="仿宋"/>
          <w:spacing w:val="-8"/>
          <w:sz w:val="28"/>
          <w:szCs w:val="28"/>
        </w:rPr>
        <w:t>万元、支出总计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186.43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after="150" w:line="360" w:lineRule="auto"/>
        <w:jc w:val="left"/>
        <w:rPr>
          <w:rFonts w:ascii="仿宋" w:hAnsi="仿宋" w:eastAsia="仿宋" w:cs="仿宋"/>
          <w:spacing w:val="2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万元。与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pacing w:val="2"/>
          <w:sz w:val="28"/>
          <w:szCs w:val="28"/>
        </w:rPr>
        <w:t>年相比，财政拨款收入总计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val="en-US" w:eastAsia="zh-CN"/>
        </w:rPr>
        <w:t>减少14.97万</w:t>
      </w:r>
      <w:r>
        <w:rPr>
          <w:rFonts w:ascii="仿宋" w:hAnsi="仿宋" w:eastAsia="仿宋" w:cs="仿宋"/>
          <w:spacing w:val="1"/>
          <w:sz w:val="28"/>
          <w:szCs w:val="28"/>
        </w:rPr>
        <w:t>元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,</w:t>
      </w:r>
      <w:r>
        <w:rPr>
          <w:rFonts w:ascii="仿宋" w:hAnsi="仿宋" w:eastAsia="仿宋" w:cs="仿宋"/>
          <w:spacing w:val="2"/>
          <w:sz w:val="28"/>
          <w:szCs w:val="28"/>
        </w:rPr>
        <w:t>财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right="20"/>
        <w:jc w:val="left"/>
        <w:rPr>
          <w:rFonts w:ascii="仿宋" w:hAnsi="仿宋" w:eastAsia="仿宋" w:cs="仿宋"/>
          <w:spacing w:val="-8"/>
          <w:sz w:val="28"/>
          <w:szCs w:val="28"/>
          <w:highlight w:val="yellow"/>
        </w:rPr>
      </w:pPr>
      <w:r>
        <w:rPr>
          <w:rFonts w:ascii="仿宋" w:hAnsi="仿宋" w:eastAsia="仿宋" w:cs="仿宋"/>
          <w:spacing w:val="2"/>
          <w:sz w:val="28"/>
          <w:szCs w:val="28"/>
        </w:rPr>
        <w:t>政拨款</w:t>
      </w:r>
      <w:r>
        <w:rPr>
          <w:rFonts w:hint="eastAsia" w:ascii="仿宋" w:hAnsi="仿宋" w:eastAsia="仿宋" w:cs="仿宋"/>
          <w:spacing w:val="2"/>
          <w:sz w:val="28"/>
          <w:szCs w:val="28"/>
          <w:lang w:eastAsia="zh-CN"/>
        </w:rPr>
        <w:t>支出</w:t>
      </w:r>
      <w:r>
        <w:rPr>
          <w:rFonts w:ascii="仿宋" w:hAnsi="仿宋" w:eastAsia="仿宋" w:cs="仿宋"/>
          <w:spacing w:val="2"/>
          <w:sz w:val="28"/>
          <w:szCs w:val="28"/>
        </w:rPr>
        <w:t>总计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val="en-US" w:eastAsia="zh-CN"/>
        </w:rPr>
        <w:t>减少14.97</w:t>
      </w:r>
      <w:r>
        <w:rPr>
          <w:rFonts w:ascii="仿宋" w:hAnsi="仿宋" w:eastAsia="仿宋" w:cs="仿宋"/>
          <w:spacing w:val="1"/>
          <w:sz w:val="28"/>
          <w:szCs w:val="28"/>
        </w:rPr>
        <w:t>万元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。主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要原因是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</w:rPr>
        <w:t>本年度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val="en-US" w:eastAsia="zh-CN"/>
        </w:rPr>
        <w:t>劳务派遣人员工资26.86万元，增加招商奖5万元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2" w:line="360" w:lineRule="auto"/>
        <w:ind w:firstLine="721"/>
        <w:jc w:val="left"/>
        <w:outlineLvl w:val="1"/>
        <w:rPr>
          <w:rFonts w:ascii="楷体" w:hAnsi="楷体" w:eastAsia="楷体" w:cs="楷体"/>
          <w:sz w:val="28"/>
          <w:szCs w:val="28"/>
        </w:rPr>
      </w:pPr>
      <w:bookmarkStart w:id="10" w:name="_Toc4425"/>
      <w:r>
        <w:rPr>
          <w:rFonts w:ascii="楷体" w:hAnsi="楷体" w:eastAsia="楷体" w:cs="楷体"/>
          <w:spacing w:val="-1"/>
          <w:sz w:val="28"/>
          <w:szCs w:val="28"/>
        </w:rPr>
        <w:t>五、一般公共预算财政拨款支出决算情况说明</w:t>
      </w:r>
      <w:bookmarkEnd w:id="10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firstLine="874"/>
        <w:jc w:val="left"/>
        <w:outlineLvl w:val="2"/>
        <w:rPr>
          <w:rFonts w:ascii="楷体" w:hAnsi="楷体" w:eastAsia="楷体" w:cs="楷体"/>
          <w:spacing w:val="-11"/>
          <w:sz w:val="28"/>
          <w:szCs w:val="28"/>
        </w:rPr>
      </w:pPr>
      <w:bookmarkStart w:id="11" w:name="_Toc13803"/>
      <w:r>
        <w:rPr>
          <w:rFonts w:ascii="楷体" w:hAnsi="楷体" w:eastAsia="楷体" w:cs="楷体"/>
          <w:spacing w:val="-11"/>
          <w:sz w:val="28"/>
          <w:szCs w:val="28"/>
        </w:rPr>
        <w:t>（一）</w:t>
      </w:r>
      <w:r>
        <w:rPr>
          <w:rFonts w:hint="eastAsia" w:ascii="楷体" w:hAnsi="楷体" w:eastAsia="楷体" w:cs="楷体"/>
          <w:spacing w:val="-11"/>
          <w:sz w:val="28"/>
          <w:szCs w:val="28"/>
          <w:lang w:eastAsia="zh-CN"/>
        </w:rPr>
        <w:t>一般公共</w:t>
      </w:r>
      <w:r>
        <w:rPr>
          <w:rFonts w:ascii="楷体" w:hAnsi="楷体" w:eastAsia="楷体" w:cs="楷体"/>
          <w:spacing w:val="-11"/>
          <w:sz w:val="28"/>
          <w:szCs w:val="28"/>
        </w:rPr>
        <w:t>财政拨款支出决算总体情况</w:t>
      </w:r>
      <w:bookmarkEnd w:id="11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firstLine="874"/>
        <w:jc w:val="left"/>
        <w:outlineLvl w:val="2"/>
        <w:rPr>
          <w:rFonts w:ascii="楷体" w:hAnsi="楷体" w:eastAsia="楷体" w:cs="楷体"/>
          <w:spacing w:val="-11"/>
          <w:sz w:val="8"/>
          <w:szCs w:val="8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after="150" w:line="360" w:lineRule="auto"/>
        <w:ind w:firstLine="532" w:firstLineChars="200"/>
        <w:jc w:val="left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2021</w:t>
      </w:r>
      <w:r>
        <w:rPr>
          <w:rFonts w:ascii="仿宋" w:hAnsi="仿宋" w:eastAsia="仿宋" w:cs="仿宋"/>
          <w:spacing w:val="-7"/>
          <w:sz w:val="28"/>
          <w:szCs w:val="28"/>
        </w:rPr>
        <w:t>年度财政拨款支出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186.43</w:t>
      </w:r>
      <w:r>
        <w:rPr>
          <w:rFonts w:ascii="仿宋" w:hAnsi="仿宋" w:eastAsia="仿宋" w:cs="仿宋"/>
          <w:spacing w:val="-7"/>
          <w:sz w:val="28"/>
          <w:szCs w:val="28"/>
        </w:rPr>
        <w:t>万元</w:t>
      </w:r>
      <w:r>
        <w:rPr>
          <w:rFonts w:ascii="仿宋" w:hAnsi="仿宋" w:eastAsia="仿宋" w:cs="仿宋"/>
          <w:spacing w:val="-4"/>
          <w:sz w:val="28"/>
          <w:szCs w:val="28"/>
        </w:rPr>
        <w:t>。与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pacing w:val="-4"/>
          <w:sz w:val="28"/>
          <w:szCs w:val="28"/>
        </w:rPr>
        <w:t>年相比，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一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right="20"/>
        <w:jc w:val="left"/>
        <w:rPr>
          <w:rFonts w:hint="eastAsia" w:ascii="仿宋" w:hAnsi="仿宋" w:eastAsia="仿宋" w:cs="仿宋"/>
          <w:spacing w:val="-4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般公共预算</w:t>
      </w:r>
      <w:r>
        <w:rPr>
          <w:rFonts w:ascii="仿宋" w:hAnsi="仿宋" w:eastAsia="仿宋" w:cs="仿宋"/>
          <w:spacing w:val="-4"/>
          <w:sz w:val="28"/>
          <w:szCs w:val="28"/>
        </w:rPr>
        <w:t>财政拨款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支出减少14.97</w:t>
      </w:r>
      <w:r>
        <w:rPr>
          <w:rFonts w:ascii="仿宋" w:hAnsi="仿宋" w:eastAsia="仿宋" w:cs="仿宋"/>
          <w:spacing w:val="7"/>
          <w:sz w:val="28"/>
          <w:szCs w:val="28"/>
        </w:rPr>
        <w:t>万元</w:t>
      </w:r>
      <w:r>
        <w:rPr>
          <w:rFonts w:ascii="仿宋" w:hAnsi="仿宋" w:eastAsia="仿宋" w:cs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主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要原因是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</w:rPr>
        <w:t>本年度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val="en-US" w:eastAsia="zh-CN"/>
        </w:rPr>
        <w:t>劳务派遣人员工资26.86万元，增加招商奖5万元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816"/>
        <w:jc w:val="left"/>
        <w:outlineLvl w:val="2"/>
        <w:rPr>
          <w:rFonts w:ascii="楷体" w:hAnsi="楷体" w:eastAsia="楷体" w:cs="楷体"/>
          <w:sz w:val="28"/>
          <w:szCs w:val="28"/>
        </w:rPr>
      </w:pPr>
      <w:bookmarkStart w:id="12" w:name="_Toc29794"/>
      <w:r>
        <w:rPr>
          <w:rFonts w:ascii="楷体" w:hAnsi="楷体" w:eastAsia="楷体" w:cs="楷体"/>
          <w:spacing w:val="-11"/>
          <w:sz w:val="28"/>
          <w:szCs w:val="28"/>
        </w:rPr>
        <w:t>（二）</w:t>
      </w:r>
      <w:r>
        <w:rPr>
          <w:rFonts w:hint="eastAsia" w:ascii="楷体" w:hAnsi="楷体" w:eastAsia="楷体" w:cs="楷体"/>
          <w:spacing w:val="-11"/>
          <w:sz w:val="28"/>
          <w:szCs w:val="28"/>
          <w:lang w:eastAsia="zh-CN"/>
        </w:rPr>
        <w:t>一般公共预算</w:t>
      </w:r>
      <w:r>
        <w:rPr>
          <w:rFonts w:ascii="楷体" w:hAnsi="楷体" w:eastAsia="楷体" w:cs="楷体"/>
          <w:spacing w:val="-11"/>
          <w:sz w:val="28"/>
          <w:szCs w:val="28"/>
        </w:rPr>
        <w:t>财政拨款支出决算结构情况</w:t>
      </w:r>
      <w:bookmarkEnd w:id="12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5" w:line="360" w:lineRule="auto"/>
        <w:ind w:left="23" w:firstLine="658"/>
        <w:jc w:val="left"/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2021</w:t>
      </w:r>
      <w:r>
        <w:rPr>
          <w:rFonts w:ascii="仿宋" w:hAnsi="仿宋" w:eastAsia="仿宋" w:cs="仿宋"/>
          <w:spacing w:val="-7"/>
          <w:sz w:val="28"/>
          <w:szCs w:val="28"/>
        </w:rPr>
        <w:t>年度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一般公共预算</w:t>
      </w:r>
      <w:r>
        <w:rPr>
          <w:rFonts w:ascii="仿宋" w:hAnsi="仿宋" w:eastAsia="仿宋" w:cs="仿宋"/>
          <w:spacing w:val="-7"/>
          <w:sz w:val="28"/>
          <w:szCs w:val="28"/>
        </w:rPr>
        <w:t>财政拨款支出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186.43</w:t>
      </w:r>
      <w:r>
        <w:rPr>
          <w:rFonts w:ascii="仿宋" w:hAnsi="仿宋" w:eastAsia="仿宋" w:cs="仿宋"/>
          <w:spacing w:val="-7"/>
          <w:sz w:val="28"/>
          <w:szCs w:val="28"/>
        </w:rPr>
        <w:t>万元，主要用于以下</w:t>
      </w:r>
      <w:r>
        <w:rPr>
          <w:rFonts w:ascii="仿宋" w:hAnsi="仿宋" w:eastAsia="仿宋" w:cs="仿宋"/>
          <w:spacing w:val="-11"/>
          <w:sz w:val="28"/>
          <w:szCs w:val="28"/>
        </w:rPr>
        <w:t>方面</w:t>
      </w:r>
      <w:r>
        <w:rPr>
          <w:rFonts w:ascii="仿宋" w:hAnsi="仿宋" w:eastAsia="仿宋" w:cs="仿宋"/>
          <w:spacing w:val="-7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一般公共服务（类）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支出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186.43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万元； 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城乡社区</w:t>
      </w:r>
      <w:r>
        <w:rPr>
          <w:rFonts w:ascii="仿宋" w:hAnsi="仿宋" w:eastAsia="仿宋" w:cs="仿宋"/>
          <w:spacing w:val="-7"/>
          <w:sz w:val="28"/>
          <w:szCs w:val="28"/>
        </w:rPr>
        <w:t>（类）支出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万元；科学技术（类）支出 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万元；社会保障和就业（类）支出  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万元；卫生健康（类）</w:t>
      </w:r>
      <w:r>
        <w:rPr>
          <w:rFonts w:ascii="仿宋" w:hAnsi="仿宋" w:eastAsia="仿宋" w:cs="仿宋"/>
          <w:spacing w:val="-3"/>
          <w:sz w:val="28"/>
          <w:szCs w:val="28"/>
        </w:rPr>
        <w:t>支出</w:t>
      </w:r>
      <w:r>
        <w:rPr>
          <w:rFonts w:hint="eastAsia" w:ascii="仿宋" w:hAnsi="仿宋" w:eastAsia="仿宋" w:cs="仿宋"/>
          <w:spacing w:val="-50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3"/>
          <w:sz w:val="28"/>
          <w:szCs w:val="28"/>
        </w:rPr>
        <w:t>万</w:t>
      </w:r>
      <w:r>
        <w:rPr>
          <w:rFonts w:ascii="仿宋" w:hAnsi="仿宋" w:eastAsia="仿宋" w:cs="仿宋"/>
          <w:spacing w:val="-6"/>
          <w:sz w:val="28"/>
          <w:szCs w:val="28"/>
        </w:rPr>
        <w:t>元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；金融（类）支出 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7"/>
          <w:sz w:val="28"/>
          <w:szCs w:val="28"/>
        </w:rPr>
        <w:t>万元；其 他（类）支出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7"/>
          <w:sz w:val="28"/>
          <w:szCs w:val="28"/>
        </w:rPr>
        <w:t>万元。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816"/>
        <w:jc w:val="left"/>
        <w:outlineLvl w:val="2"/>
        <w:rPr>
          <w:rFonts w:ascii="楷体" w:hAnsi="楷体" w:eastAsia="楷体" w:cs="楷体"/>
          <w:sz w:val="28"/>
          <w:szCs w:val="28"/>
        </w:rPr>
      </w:pPr>
      <w:bookmarkStart w:id="13" w:name="_Toc3162"/>
      <w:r>
        <w:rPr>
          <w:rFonts w:ascii="楷体" w:hAnsi="楷体" w:eastAsia="楷体" w:cs="楷体"/>
          <w:spacing w:val="-11"/>
          <w:sz w:val="28"/>
          <w:szCs w:val="28"/>
        </w:rPr>
        <w:t>（三）</w:t>
      </w:r>
      <w:r>
        <w:rPr>
          <w:rFonts w:hint="eastAsia" w:ascii="楷体" w:hAnsi="楷体" w:eastAsia="楷体" w:cs="楷体"/>
          <w:spacing w:val="-11"/>
          <w:sz w:val="28"/>
          <w:szCs w:val="28"/>
          <w:lang w:eastAsia="zh-CN"/>
        </w:rPr>
        <w:t>一般公共预算</w:t>
      </w:r>
      <w:r>
        <w:rPr>
          <w:rFonts w:ascii="楷体" w:hAnsi="楷体" w:eastAsia="楷体" w:cs="楷体"/>
          <w:spacing w:val="-11"/>
          <w:sz w:val="28"/>
          <w:szCs w:val="28"/>
        </w:rPr>
        <w:t>财政拨款支出决算具体情况</w:t>
      </w:r>
      <w:bookmarkEnd w:id="13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5" w:line="360" w:lineRule="auto"/>
        <w:ind w:firstLine="552" w:firstLineChars="200"/>
        <w:jc w:val="left"/>
        <w:rPr>
          <w:rFonts w:hint="default" w:ascii="仿宋" w:hAnsi="仿宋" w:eastAsia="仿宋" w:cs="仿宋"/>
          <w:spacing w:val="-16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2021</w:t>
      </w:r>
      <w:r>
        <w:rPr>
          <w:rFonts w:ascii="仿宋" w:hAnsi="仿宋" w:eastAsia="仿宋" w:cs="仿宋"/>
          <w:spacing w:val="-2"/>
          <w:sz w:val="28"/>
          <w:szCs w:val="28"/>
        </w:rPr>
        <w:t>年度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一般公共预算</w:t>
      </w:r>
      <w:r>
        <w:rPr>
          <w:rFonts w:ascii="仿宋" w:hAnsi="仿宋" w:eastAsia="仿宋" w:cs="仿宋"/>
          <w:spacing w:val="-2"/>
          <w:sz w:val="28"/>
          <w:szCs w:val="28"/>
        </w:rPr>
        <w:t>财政拨款支出</w:t>
      </w:r>
      <w:r>
        <w:rPr>
          <w:rFonts w:ascii="仿宋" w:hAnsi="仿宋" w:eastAsia="仿宋" w:cs="仿宋"/>
          <w:spacing w:val="-4"/>
          <w:sz w:val="28"/>
          <w:szCs w:val="28"/>
        </w:rPr>
        <w:t>年初预算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185.55</w:t>
      </w:r>
      <w:r>
        <w:rPr>
          <w:rFonts w:ascii="仿宋" w:hAnsi="仿宋" w:eastAsia="仿宋" w:cs="仿宋"/>
          <w:spacing w:val="-4"/>
          <w:sz w:val="28"/>
          <w:szCs w:val="28"/>
        </w:rPr>
        <w:t>万元，支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出决算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186.43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pacing w:val="-4"/>
          <w:sz w:val="28"/>
          <w:szCs w:val="28"/>
          <w:highlight w:val="none"/>
          <w:lang w:eastAsia="zh-CN"/>
        </w:rPr>
        <w:t>，决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  <w:lang w:val="en-US" w:eastAsia="zh-CN"/>
        </w:rPr>
        <w:t>算数大于</w:t>
      </w:r>
      <w:r>
        <w:rPr>
          <w:rFonts w:hint="eastAsia" w:ascii="仿宋" w:hAnsi="仿宋" w:eastAsia="仿宋" w:cs="仿宋"/>
          <w:spacing w:val="-4"/>
          <w:sz w:val="28"/>
          <w:szCs w:val="28"/>
          <w:highlight w:val="none"/>
          <w:lang w:eastAsia="zh-CN"/>
        </w:rPr>
        <w:t>预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  <w:lang w:val="en-US" w:eastAsia="zh-CN"/>
        </w:rPr>
        <w:t>算数的</w:t>
      </w:r>
      <w:r>
        <w:rPr>
          <w:rFonts w:ascii="仿宋" w:hAnsi="仿宋" w:eastAsia="仿宋" w:cs="仿宋"/>
          <w:spacing w:val="-16"/>
          <w:sz w:val="28"/>
          <w:szCs w:val="28"/>
          <w:highlight w:val="none"/>
        </w:rPr>
        <w:t>主要原因是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</w:rPr>
        <w:t>本年度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eastAsia="zh-CN"/>
        </w:rPr>
        <w:t>追加招商奖</w:t>
      </w:r>
      <w:r>
        <w:rPr>
          <w:rFonts w:hint="eastAsia" w:ascii="仿宋" w:hAnsi="仿宋" w:eastAsia="仿宋" w:cs="仿宋"/>
          <w:spacing w:val="-16"/>
          <w:sz w:val="28"/>
          <w:szCs w:val="28"/>
          <w:highlight w:val="none"/>
          <w:lang w:val="en-US" w:eastAsia="zh-CN"/>
        </w:rPr>
        <w:t>5万元。</w:t>
      </w:r>
    </w:p>
    <w:p>
      <w:pPr>
        <w:keepNext w:val="0"/>
        <w:keepLines w:val="0"/>
        <w:pageBreakBefore w:val="0"/>
        <w:tabs>
          <w:tab w:val="left" w:pos="441"/>
        </w:tabs>
        <w:wordWrap/>
        <w:overflowPunct/>
        <w:topLinePunct w:val="0"/>
        <w:bidi w:val="0"/>
        <w:spacing w:line="360" w:lineRule="auto"/>
        <w:jc w:val="left"/>
        <w:rPr>
          <w:rFonts w:hint="eastAsia" w:eastAsia="宋体"/>
          <w:sz w:val="20"/>
          <w:szCs w:val="20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738"/>
        <w:jc w:val="left"/>
        <w:outlineLvl w:val="1"/>
        <w:rPr>
          <w:rFonts w:ascii="楷体" w:hAnsi="楷体" w:eastAsia="楷体" w:cs="楷体"/>
          <w:sz w:val="28"/>
          <w:szCs w:val="28"/>
        </w:rPr>
      </w:pPr>
      <w:bookmarkStart w:id="14" w:name="_Toc266"/>
      <w:r>
        <w:rPr>
          <w:rFonts w:ascii="楷体" w:hAnsi="楷体" w:eastAsia="楷体" w:cs="楷体"/>
          <w:spacing w:val="-2"/>
          <w:sz w:val="28"/>
          <w:szCs w:val="28"/>
        </w:rPr>
        <w:t>六、一般公共预算财政拨款基本支出决算情况说明</w:t>
      </w:r>
      <w:bookmarkEnd w:id="14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left="46" w:right="157" w:firstLine="693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2021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年度财政拨款基本支出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77.61</w:t>
      </w:r>
      <w:r>
        <w:rPr>
          <w:rFonts w:ascii="仿宋" w:hAnsi="仿宋" w:eastAsia="仿宋" w:cs="仿宋"/>
          <w:spacing w:val="-9"/>
          <w:sz w:val="28"/>
          <w:szCs w:val="28"/>
        </w:rPr>
        <w:t>万元，其中：人</w:t>
      </w:r>
      <w:r>
        <w:rPr>
          <w:rFonts w:ascii="仿宋" w:hAnsi="仿宋" w:eastAsia="仿宋" w:cs="仿宋"/>
          <w:spacing w:val="-4"/>
          <w:sz w:val="28"/>
          <w:szCs w:val="28"/>
        </w:rPr>
        <w:t>员经费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75.74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万元，主要包括工资福利支出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75.74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万元和对个人和家庭的补助</w:t>
      </w:r>
      <w:r>
        <w:rPr>
          <w:rFonts w:ascii="仿宋" w:hAnsi="仿宋" w:eastAsia="仿宋" w:cs="仿宋"/>
          <w:spacing w:val="-61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pacing w:val="-9"/>
          <w:sz w:val="28"/>
          <w:szCs w:val="28"/>
          <w:highlight w:val="none"/>
          <w:lang w:val="en-US" w:eastAsia="zh-CN"/>
        </w:rPr>
        <w:t>0</w:t>
      </w:r>
      <w:r>
        <w:rPr>
          <w:rFonts w:ascii="仿宋" w:hAnsi="仿宋" w:eastAsia="仿宋" w:cs="仿宋"/>
          <w:spacing w:val="-83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万元；公用经费</w:t>
      </w:r>
      <w:r>
        <w:rPr>
          <w:rFonts w:hint="eastAsia" w:ascii="仿宋" w:eastAsia="仿宋" w:cs="仿宋"/>
          <w:sz w:val="28"/>
          <w:szCs w:val="28"/>
          <w:highlight w:val="none"/>
          <w:lang w:val="en-US" w:eastAsia="zh-CN" w:bidi="ar-SA"/>
        </w:rPr>
        <w:t>1.87</w:t>
      </w:r>
      <w:r>
        <w:rPr>
          <w:rFonts w:ascii="仿宋" w:hAnsi="仿宋" w:eastAsia="仿宋" w:cs="仿宋"/>
          <w:spacing w:val="1"/>
          <w:sz w:val="28"/>
          <w:szCs w:val="28"/>
          <w:highlight w:val="none"/>
        </w:rPr>
        <w:t>万元，主要包括商品和服务支出</w:t>
      </w:r>
      <w:r>
        <w:rPr>
          <w:rFonts w:hint="eastAsia" w:ascii="仿宋" w:hAnsi="仿宋" w:eastAsia="仿宋" w:cs="仿宋"/>
          <w:spacing w:val="-32"/>
          <w:sz w:val="28"/>
          <w:szCs w:val="28"/>
          <w:highlight w:val="none"/>
          <w:lang w:val="en-US" w:eastAsia="zh-CN"/>
        </w:rPr>
        <w:t>1.87</w:t>
      </w:r>
      <w:r>
        <w:rPr>
          <w:rFonts w:ascii="仿宋" w:hAnsi="仿宋" w:eastAsia="仿宋" w:cs="仿宋"/>
          <w:spacing w:val="1"/>
          <w:sz w:val="28"/>
          <w:szCs w:val="28"/>
          <w:highlight w:val="none"/>
        </w:rPr>
        <w:t>万元和资本性支</w:t>
      </w:r>
      <w:r>
        <w:rPr>
          <w:rFonts w:ascii="仿宋" w:hAnsi="仿宋" w:eastAsia="仿宋" w:cs="仿宋"/>
          <w:spacing w:val="-6"/>
          <w:sz w:val="28"/>
          <w:szCs w:val="28"/>
          <w:highlight w:val="none"/>
        </w:rPr>
        <w:t>出</w:t>
      </w:r>
      <w:r>
        <w:rPr>
          <w:rFonts w:hint="eastAsia" w:ascii="仿宋" w:hAnsi="仿宋" w:eastAsia="仿宋" w:cs="仿宋"/>
          <w:spacing w:val="-6"/>
          <w:sz w:val="28"/>
          <w:szCs w:val="28"/>
          <w:highlight w:val="none"/>
          <w:lang w:val="en-US" w:eastAsia="zh-CN"/>
        </w:rPr>
        <w:t>0</w:t>
      </w:r>
      <w:r>
        <w:rPr>
          <w:rFonts w:ascii="仿宋" w:hAnsi="仿宋" w:eastAsia="仿宋" w:cs="仿宋"/>
          <w:spacing w:val="-6"/>
          <w:sz w:val="28"/>
          <w:szCs w:val="28"/>
        </w:rPr>
        <w:t>万元。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left="46" w:right="157" w:firstLine="693"/>
        <w:jc w:val="left"/>
        <w:outlineLvl w:val="1"/>
        <w:rPr>
          <w:rFonts w:ascii="仿宋" w:hAnsi="仿宋" w:eastAsia="仿宋" w:cs="仿宋"/>
          <w:spacing w:val="-9"/>
          <w:sz w:val="28"/>
          <w:szCs w:val="28"/>
        </w:rPr>
      </w:pPr>
      <w:bookmarkStart w:id="15" w:name="_Toc2342"/>
      <w:r>
        <w:rPr>
          <w:rFonts w:ascii="楷体" w:hAnsi="楷体" w:eastAsia="楷体" w:cs="楷体"/>
          <w:spacing w:val="-4"/>
          <w:sz w:val="28"/>
          <w:szCs w:val="28"/>
        </w:rPr>
        <w:t>七、一般公共预算财政拨款</w:t>
      </w:r>
      <w:r>
        <w:rPr>
          <w:rFonts w:ascii="楷体" w:hAnsi="楷体" w:eastAsia="楷体" w:cs="楷体"/>
          <w:spacing w:val="6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“三公”经费支出决算</w:t>
      </w:r>
      <w:r>
        <w:rPr>
          <w:rFonts w:ascii="仿宋" w:hAnsi="仿宋" w:eastAsia="仿宋" w:cs="仿宋"/>
          <w:spacing w:val="-9"/>
          <w:sz w:val="28"/>
          <w:szCs w:val="28"/>
        </w:rPr>
        <w:t>情 况说明</w:t>
      </w:r>
      <w:bookmarkEnd w:id="15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left="46" w:right="157" w:firstLine="693"/>
        <w:jc w:val="left"/>
        <w:rPr>
          <w:rFonts w:ascii="仿宋" w:hAnsi="仿宋" w:eastAsia="仿宋" w:cs="仿宋"/>
          <w:spacing w:val="-9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9"/>
          <w:sz w:val="28"/>
          <w:szCs w:val="28"/>
          <w:highlight w:val="none"/>
          <w:lang w:val="en-US" w:eastAsia="zh-CN"/>
        </w:rPr>
        <w:t>2021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年度，“三公”经费财政拨款支出决算</w:t>
      </w:r>
      <w:r>
        <w:rPr>
          <w:rFonts w:hint="eastAsia" w:ascii="仿宋" w:hAnsi="仿宋" w:eastAsia="仿宋" w:cs="仿宋"/>
          <w:spacing w:val="-9"/>
          <w:sz w:val="28"/>
          <w:szCs w:val="28"/>
          <w:highlight w:val="none"/>
          <w:lang w:val="en-US" w:eastAsia="zh-CN"/>
        </w:rPr>
        <w:t>0万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元，</w:t>
      </w:r>
      <w:r>
        <w:rPr>
          <w:rFonts w:hint="eastAsia" w:ascii="仿宋" w:hAnsi="仿宋" w:eastAsia="仿宋" w:cs="仿宋"/>
          <w:spacing w:val="-9"/>
          <w:sz w:val="28"/>
          <w:szCs w:val="28"/>
          <w:highlight w:val="none"/>
          <w:lang w:eastAsia="zh-CN"/>
        </w:rPr>
        <w:t>20</w:t>
      </w:r>
      <w:r>
        <w:rPr>
          <w:rFonts w:hint="eastAsia" w:ascii="仿宋" w:hAnsi="仿宋" w:eastAsia="仿宋" w:cs="仿宋"/>
          <w:spacing w:val="-9"/>
          <w:sz w:val="28"/>
          <w:szCs w:val="28"/>
          <w:highlight w:val="none"/>
          <w:lang w:val="en-US" w:eastAsia="zh-CN"/>
        </w:rPr>
        <w:t>20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年度， “三公”经费财政拨款支出决算</w:t>
      </w:r>
      <w:r>
        <w:rPr>
          <w:rFonts w:hint="eastAsia" w:ascii="仿宋" w:hAnsi="仿宋" w:eastAsia="仿宋" w:cs="仿宋"/>
          <w:spacing w:val="-9"/>
          <w:sz w:val="28"/>
          <w:szCs w:val="28"/>
          <w:highlight w:val="none"/>
          <w:lang w:val="en-US" w:eastAsia="zh-CN"/>
        </w:rPr>
        <w:t>0万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元。</w:t>
      </w:r>
      <w:r>
        <w:rPr>
          <w:rFonts w:hint="eastAsia" w:ascii="仿宋" w:hAnsi="仿宋" w:eastAsia="仿宋" w:cs="仿宋"/>
          <w:spacing w:val="-9"/>
          <w:sz w:val="28"/>
          <w:szCs w:val="28"/>
          <w:highlight w:val="none"/>
          <w:lang w:val="en-US" w:eastAsia="zh-CN"/>
        </w:rPr>
        <w:t>无增长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。其中：公务接待费支出决算</w:t>
      </w:r>
      <w:r>
        <w:rPr>
          <w:rFonts w:hint="eastAsia" w:ascii="仿宋" w:hAnsi="仿宋" w:eastAsia="仿宋" w:cs="仿宋"/>
          <w:spacing w:val="-9"/>
          <w:sz w:val="28"/>
          <w:szCs w:val="28"/>
          <w:highlight w:val="none"/>
          <w:lang w:val="en-US" w:eastAsia="zh-CN"/>
        </w:rPr>
        <w:t>0万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 xml:space="preserve">元 </w:t>
      </w:r>
      <w:r>
        <w:rPr>
          <w:rFonts w:hint="eastAsia" w:ascii="仿宋" w:hAnsi="仿宋" w:eastAsia="仿宋" w:cs="仿宋"/>
          <w:spacing w:val="-9"/>
          <w:sz w:val="28"/>
          <w:szCs w:val="28"/>
          <w:highlight w:val="none"/>
          <w:lang w:eastAsia="zh-CN"/>
        </w:rPr>
        <w:t>，本单位无三公经费</w:t>
      </w:r>
      <w:r>
        <w:rPr>
          <w:rFonts w:ascii="仿宋" w:hAnsi="仿宋" w:eastAsia="仿宋" w:cs="仿宋"/>
          <w:spacing w:val="-9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before="284" w:line="360" w:lineRule="auto"/>
        <w:ind w:left="46" w:right="157" w:firstLine="693"/>
        <w:jc w:val="left"/>
        <w:outlineLvl w:val="1"/>
        <w:rPr>
          <w:rFonts w:hint="eastAsia" w:ascii="楷体" w:hAnsi="楷体" w:eastAsia="楷体" w:cs="楷体"/>
          <w:spacing w:val="-4"/>
          <w:sz w:val="28"/>
          <w:szCs w:val="28"/>
          <w:lang w:eastAsia="zh-CN"/>
        </w:rPr>
      </w:pPr>
      <w:bookmarkStart w:id="16" w:name="_Toc10872"/>
      <w:r>
        <w:rPr>
          <w:rFonts w:hint="eastAsia" w:ascii="楷体" w:hAnsi="楷体" w:eastAsia="楷体" w:cs="楷体"/>
          <w:spacing w:val="-4"/>
          <w:sz w:val="28"/>
          <w:szCs w:val="28"/>
          <w:lang w:eastAsia="zh-CN"/>
        </w:rPr>
        <w:t>政府性基金预算收入支出决算情况说明</w:t>
      </w:r>
      <w:bookmarkEnd w:id="16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left="46" w:right="157" w:firstLine="693"/>
        <w:jc w:val="left"/>
        <w:rPr>
          <w:rFonts w:hint="default" w:ascii="仿宋" w:hAnsi="仿宋" w:eastAsia="仿宋" w:cs="仿宋"/>
          <w:spacing w:val="-9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28"/>
          <w:szCs w:val="28"/>
          <w:highlight w:val="none"/>
          <w:lang w:val="en-US" w:eastAsia="zh-CN"/>
        </w:rPr>
        <w:t>2021年度，政府性基金预算财政拨款本年收入0万元。本年度支出0万元,本年度无政府性基金预算收支.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1" w:line="360" w:lineRule="auto"/>
        <w:ind w:firstLine="665"/>
        <w:jc w:val="left"/>
        <w:outlineLvl w:val="1"/>
        <w:rPr>
          <w:rFonts w:ascii="楷体" w:hAnsi="楷体" w:eastAsia="楷体" w:cs="楷体"/>
          <w:sz w:val="28"/>
          <w:szCs w:val="28"/>
        </w:rPr>
      </w:pPr>
      <w:bookmarkStart w:id="17" w:name="_Toc5370"/>
      <w:r>
        <w:rPr>
          <w:rFonts w:hint="eastAsia" w:ascii="楷体" w:hAnsi="楷体" w:eastAsia="楷体" w:cs="楷体"/>
          <w:spacing w:val="-1"/>
          <w:sz w:val="28"/>
          <w:szCs w:val="28"/>
          <w:lang w:eastAsia="zh-CN"/>
        </w:rPr>
        <w:t>九</w:t>
      </w:r>
      <w:r>
        <w:rPr>
          <w:rFonts w:ascii="楷体" w:hAnsi="楷体" w:eastAsia="楷体" w:cs="楷体"/>
          <w:spacing w:val="-1"/>
          <w:sz w:val="28"/>
          <w:szCs w:val="28"/>
        </w:rPr>
        <w:t>、其他重要事项情况说明</w:t>
      </w:r>
      <w:bookmarkEnd w:id="17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8" w:line="360" w:lineRule="auto"/>
        <w:ind w:firstLine="816"/>
        <w:jc w:val="left"/>
        <w:outlineLvl w:val="2"/>
        <w:rPr>
          <w:rFonts w:ascii="楷体" w:hAnsi="楷体" w:eastAsia="楷体" w:cs="楷体"/>
          <w:sz w:val="28"/>
          <w:szCs w:val="28"/>
        </w:rPr>
      </w:pPr>
      <w:bookmarkStart w:id="18" w:name="_Toc14270"/>
      <w:r>
        <w:rPr>
          <w:rFonts w:ascii="楷体" w:hAnsi="楷体" w:eastAsia="楷体" w:cs="楷体"/>
          <w:spacing w:val="-11"/>
          <w:sz w:val="28"/>
          <w:szCs w:val="28"/>
        </w:rPr>
        <w:t>（一）机关运行经费支出情况说明</w:t>
      </w:r>
      <w:bookmarkEnd w:id="18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4" w:line="360" w:lineRule="auto"/>
        <w:ind w:left="23" w:right="19" w:firstLine="658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2021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年本部门机关运行经费支出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万元，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eastAsia="zh-CN"/>
        </w:rPr>
        <w:t>20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20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年本部门机关运行经费支出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较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eastAsia="zh-CN"/>
        </w:rPr>
        <w:t>20</w:t>
      </w:r>
      <w:r>
        <w:rPr>
          <w:rFonts w:hint="eastAsia" w:ascii="仿宋" w:hAnsi="仿宋" w:eastAsia="仿宋" w:cs="仿宋"/>
          <w:spacing w:val="-2"/>
          <w:sz w:val="28"/>
          <w:szCs w:val="28"/>
          <w:highlight w:val="none"/>
          <w:lang w:val="en-US" w:eastAsia="zh-CN"/>
        </w:rPr>
        <w:t>20</w:t>
      </w: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pacing w:val="-1"/>
          <w:sz w:val="28"/>
          <w:szCs w:val="28"/>
          <w:highlight w:val="none"/>
          <w:lang w:val="en-US" w:eastAsia="zh-CN"/>
        </w:rPr>
        <w:t>减少0</w:t>
      </w: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万元，</w:t>
      </w:r>
      <w:r>
        <w:rPr>
          <w:rFonts w:hint="eastAsia" w:ascii="仿宋" w:hAnsi="仿宋" w:eastAsia="仿宋" w:cs="仿宋"/>
          <w:spacing w:val="-1"/>
          <w:sz w:val="28"/>
          <w:szCs w:val="28"/>
          <w:highlight w:val="none"/>
          <w:lang w:eastAsia="zh-CN"/>
        </w:rPr>
        <w:t>本单位无机关运行经费</w:t>
      </w:r>
      <w:r>
        <w:rPr>
          <w:rFonts w:ascii="仿宋" w:hAnsi="仿宋" w:eastAsia="仿宋" w:cs="仿宋"/>
          <w:spacing w:val="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816"/>
        <w:jc w:val="left"/>
        <w:outlineLvl w:val="2"/>
        <w:rPr>
          <w:rFonts w:ascii="楷体" w:hAnsi="楷体" w:eastAsia="楷体" w:cs="楷体"/>
          <w:sz w:val="28"/>
          <w:szCs w:val="28"/>
        </w:rPr>
      </w:pPr>
      <w:bookmarkStart w:id="19" w:name="_Toc32647"/>
      <w:r>
        <w:rPr>
          <w:rFonts w:ascii="楷体" w:hAnsi="楷体" w:eastAsia="楷体" w:cs="楷体"/>
          <w:spacing w:val="-15"/>
          <w:sz w:val="28"/>
          <w:szCs w:val="28"/>
        </w:rPr>
        <w:t>（二）政府采购</w:t>
      </w:r>
      <w:r>
        <w:rPr>
          <w:rFonts w:hint="eastAsia" w:ascii="楷体" w:hAnsi="楷体" w:eastAsia="楷体" w:cs="楷体"/>
          <w:spacing w:val="-15"/>
          <w:sz w:val="28"/>
          <w:szCs w:val="28"/>
          <w:lang w:eastAsia="zh-CN"/>
        </w:rPr>
        <w:t>支出</w:t>
      </w:r>
      <w:r>
        <w:rPr>
          <w:rFonts w:ascii="楷体" w:hAnsi="楷体" w:eastAsia="楷体" w:cs="楷体"/>
          <w:spacing w:val="-15"/>
          <w:sz w:val="28"/>
          <w:szCs w:val="28"/>
        </w:rPr>
        <w:t>情况说明</w:t>
      </w:r>
      <w:bookmarkEnd w:id="19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3" w:line="360" w:lineRule="auto"/>
        <w:ind w:left="31" w:firstLine="650"/>
        <w:jc w:val="left"/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2021</w:t>
      </w:r>
      <w:r>
        <w:rPr>
          <w:rFonts w:ascii="仿宋" w:hAnsi="仿宋" w:eastAsia="仿宋" w:cs="仿宋"/>
          <w:spacing w:val="-1"/>
          <w:sz w:val="28"/>
          <w:szCs w:val="28"/>
        </w:rPr>
        <w:t>年度，政府采购支出</w:t>
      </w: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总额</w:t>
      </w:r>
      <w:r>
        <w:rPr>
          <w:rFonts w:hint="eastAsia" w:ascii="仿宋" w:hAnsi="仿宋" w:eastAsia="仿宋" w:cs="仿宋"/>
          <w:spacing w:val="-1"/>
          <w:sz w:val="28"/>
          <w:szCs w:val="28"/>
          <w:highlight w:val="none"/>
          <w:lang w:val="en-US" w:eastAsia="zh-CN"/>
        </w:rPr>
        <w:t>12.71</w:t>
      </w: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万元，其中：政府采购货物支出</w:t>
      </w:r>
      <w:r>
        <w:rPr>
          <w:rFonts w:hint="eastAsia" w:ascii="仿宋" w:hAnsi="仿宋" w:eastAsia="仿宋" w:cs="仿宋"/>
          <w:spacing w:val="-1"/>
          <w:sz w:val="28"/>
          <w:szCs w:val="28"/>
          <w:highlight w:val="none"/>
          <w:lang w:val="en-US" w:eastAsia="zh-CN"/>
        </w:rPr>
        <w:t>12.71</w:t>
      </w:r>
      <w:r>
        <w:rPr>
          <w:rFonts w:ascii="仿宋" w:hAnsi="仿宋" w:eastAsia="仿宋" w:cs="仿宋"/>
          <w:spacing w:val="-1"/>
          <w:sz w:val="28"/>
          <w:szCs w:val="28"/>
          <w:highlight w:val="none"/>
        </w:rPr>
        <w:t>万元；</w:t>
      </w:r>
      <w:r>
        <w:rPr>
          <w:rFonts w:ascii="仿宋" w:hAnsi="仿宋" w:eastAsia="仿宋" w:cs="仿宋"/>
          <w:spacing w:val="18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政府采购工程支出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1"/>
          <w:sz w:val="28"/>
          <w:szCs w:val="28"/>
        </w:rPr>
        <w:t>万元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：政府采购服务支出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0万元</w:t>
      </w:r>
      <w:r>
        <w:rPr>
          <w:rFonts w:hint="eastAsia" w:ascii="仿宋" w:hAnsi="仿宋" w:eastAsia="仿宋" w:cs="仿宋"/>
          <w:spacing w:val="1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2" w:line="360" w:lineRule="auto"/>
        <w:ind w:firstLine="802"/>
        <w:jc w:val="left"/>
        <w:outlineLvl w:val="2"/>
        <w:rPr>
          <w:rFonts w:ascii="楷体" w:hAnsi="楷体" w:eastAsia="楷体" w:cs="楷体"/>
          <w:sz w:val="28"/>
          <w:szCs w:val="28"/>
        </w:rPr>
      </w:pPr>
      <w:bookmarkStart w:id="20" w:name="_Toc21277"/>
      <w:r>
        <w:rPr>
          <w:rFonts w:ascii="楷体" w:hAnsi="楷体" w:eastAsia="楷体" w:cs="楷体"/>
          <w:spacing w:val="-13"/>
          <w:sz w:val="28"/>
          <w:szCs w:val="28"/>
        </w:rPr>
        <w:t>（三）国有资产占用情况说明</w:t>
      </w:r>
      <w:bookmarkEnd w:id="20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5" w:line="360" w:lineRule="auto"/>
        <w:ind w:left="26" w:firstLine="63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截至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2021</w:t>
      </w:r>
      <w:r>
        <w:rPr>
          <w:rFonts w:ascii="仿宋" w:hAnsi="仿宋" w:eastAsia="仿宋" w:cs="仿宋"/>
          <w:spacing w:val="-4"/>
          <w:sz w:val="28"/>
          <w:szCs w:val="28"/>
        </w:rPr>
        <w:t>年12月31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日，本部门共有车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辆</w:t>
      </w:r>
      <w:r>
        <w:rPr>
          <w:rFonts w:hint="eastAsia" w:ascii="仿宋" w:hAnsi="仿宋" w:eastAsia="仿宋" w:cs="仿宋"/>
          <w:spacing w:val="-4"/>
          <w:sz w:val="28"/>
          <w:szCs w:val="28"/>
          <w:highlight w:val="none"/>
          <w:lang w:val="en-US" w:eastAsia="zh-CN"/>
        </w:rPr>
        <w:t>0</w:t>
      </w:r>
      <w:r>
        <w:rPr>
          <w:rFonts w:ascii="仿宋" w:hAnsi="仿宋" w:eastAsia="仿宋" w:cs="仿宋"/>
          <w:spacing w:val="-4"/>
          <w:sz w:val="28"/>
          <w:szCs w:val="28"/>
          <w:highlight w:val="none"/>
        </w:rPr>
        <w:t>辆，</w:t>
      </w:r>
      <w:r>
        <w:rPr>
          <w:rFonts w:ascii="仿宋" w:hAnsi="仿宋" w:eastAsia="仿宋" w:cs="仿宋"/>
          <w:spacing w:val="-4"/>
          <w:sz w:val="28"/>
          <w:szCs w:val="28"/>
        </w:rPr>
        <w:t>其中，副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部（省）级及以上领导用车0辆、主要领导干部用车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28"/>
          <w:szCs w:val="28"/>
        </w:rPr>
        <w:t>辆、机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要通信用车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28"/>
          <w:szCs w:val="28"/>
        </w:rPr>
        <w:t>辆、应急保障用车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28"/>
          <w:szCs w:val="28"/>
        </w:rPr>
        <w:t>辆、执法执勤用车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-2"/>
          <w:sz w:val="28"/>
          <w:szCs w:val="28"/>
        </w:rPr>
        <w:t>辆、特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4"/>
          <w:sz w:val="28"/>
          <w:szCs w:val="28"/>
        </w:rPr>
        <w:t>种专业技术用车0辆、离退休干部用车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28"/>
          <w:szCs w:val="28"/>
        </w:rPr>
        <w:t>辆、其他用车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0</w:t>
      </w:r>
      <w:r>
        <w:rPr>
          <w:rFonts w:ascii="仿宋" w:hAnsi="仿宋" w:eastAsia="仿宋" w:cs="仿宋"/>
          <w:spacing w:val="4"/>
          <w:sz w:val="28"/>
          <w:szCs w:val="28"/>
        </w:rPr>
        <w:t>辆，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其他用车主要是公车改革后经批准保留的日常运转车辆和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待处置车辆。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802"/>
        <w:jc w:val="left"/>
        <w:outlineLvl w:val="2"/>
        <w:rPr>
          <w:rFonts w:ascii="楷体" w:hAnsi="楷体" w:eastAsia="楷体" w:cs="楷体"/>
          <w:sz w:val="28"/>
          <w:szCs w:val="28"/>
        </w:rPr>
      </w:pPr>
      <w:bookmarkStart w:id="21" w:name="_Toc26104"/>
      <w:r>
        <w:rPr>
          <w:rFonts w:ascii="楷体" w:hAnsi="楷体" w:eastAsia="楷体" w:cs="楷体"/>
          <w:spacing w:val="-15"/>
          <w:position w:val="23"/>
          <w:sz w:val="28"/>
          <w:szCs w:val="28"/>
        </w:rPr>
        <w:t>（四）预算绩效情况说明</w:t>
      </w:r>
      <w:bookmarkEnd w:id="21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firstLine="689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"/>
          <w:sz w:val="28"/>
          <w:szCs w:val="28"/>
        </w:rPr>
        <w:t>1.预算绩效管理工作开展情况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5" w:line="360" w:lineRule="auto"/>
        <w:ind w:left="32" w:right="180" w:firstLine="633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根据预算绩效管理要求，我部门组织对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2021</w:t>
      </w:r>
      <w:r>
        <w:rPr>
          <w:rFonts w:ascii="仿宋" w:hAnsi="仿宋" w:eastAsia="仿宋" w:cs="仿宋"/>
          <w:spacing w:val="3"/>
          <w:sz w:val="28"/>
          <w:szCs w:val="28"/>
        </w:rPr>
        <w:t>年度省级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财政预算安排的事业发展类项目、专项转移支付类项目和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300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万元以上的经费补助类项目支出全面开展绩效自评</w:t>
      </w:r>
      <w:r>
        <w:rPr>
          <w:rFonts w:ascii="仿宋" w:hAnsi="仿宋" w:eastAsia="仿宋" w:cs="仿宋"/>
          <w:spacing w:val="5"/>
          <w:sz w:val="28"/>
          <w:szCs w:val="28"/>
        </w:rPr>
        <w:t>。我部门无政府性基金预算项目支出，没有对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z w:val="28"/>
          <w:szCs w:val="28"/>
        </w:rPr>
        <w:t>年度政府性基金预算项目支出开展绩效自评。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我部门没有对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2021</w:t>
      </w:r>
      <w:r>
        <w:rPr>
          <w:rFonts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年项目支出开展部门评价。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93" w:line="360" w:lineRule="auto"/>
        <w:ind w:firstLine="681"/>
        <w:jc w:val="left"/>
        <w:outlineLvl w:val="0"/>
        <w:rPr>
          <w:rFonts w:ascii="黑体" w:hAnsi="黑体" w:eastAsia="黑体" w:cs="黑体"/>
          <w:sz w:val="28"/>
          <w:szCs w:val="28"/>
        </w:rPr>
      </w:pPr>
      <w:bookmarkStart w:id="22" w:name="_Toc6462"/>
      <w:r>
        <w:rPr>
          <w:rFonts w:ascii="黑体" w:hAnsi="黑体" w:eastAsia="黑体" w:cs="黑体"/>
          <w:spacing w:val="-5"/>
          <w:sz w:val="28"/>
          <w:szCs w:val="28"/>
        </w:rPr>
        <w:t>第四部分</w:t>
      </w:r>
      <w:r>
        <w:rPr>
          <w:rFonts w:ascii="黑体" w:hAnsi="黑体" w:eastAsia="黑体" w:cs="黑体"/>
          <w:spacing w:val="9"/>
          <w:sz w:val="28"/>
          <w:szCs w:val="28"/>
        </w:rPr>
        <w:t xml:space="preserve">  </w:t>
      </w:r>
      <w:r>
        <w:rPr>
          <w:rFonts w:ascii="黑体" w:hAnsi="黑体" w:eastAsia="黑体" w:cs="黑体"/>
          <w:spacing w:val="-5"/>
          <w:sz w:val="28"/>
          <w:szCs w:val="28"/>
        </w:rPr>
        <w:t>名词解释</w:t>
      </w:r>
      <w:bookmarkEnd w:id="22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13" w:line="360" w:lineRule="auto"/>
        <w:ind w:left="41" w:right="540" w:firstLine="69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财政拨款收入：</w:t>
      </w:r>
      <w:r>
        <w:rPr>
          <w:rFonts w:ascii="仿宋" w:hAnsi="仿宋" w:eastAsia="仿宋" w:cs="仿宋"/>
          <w:spacing w:val="-1"/>
          <w:sz w:val="28"/>
          <w:szCs w:val="28"/>
        </w:rPr>
        <w:t>指单位从同级财政部门取得的财政预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算资金。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61" w:line="360" w:lineRule="auto"/>
        <w:ind w:left="35" w:right="615" w:firstLine="63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事业收入：</w:t>
      </w:r>
      <w:r>
        <w:rPr>
          <w:rFonts w:ascii="仿宋" w:hAnsi="仿宋" w:eastAsia="仿宋" w:cs="仿宋"/>
          <w:spacing w:val="-1"/>
          <w:sz w:val="28"/>
          <w:szCs w:val="28"/>
        </w:rPr>
        <w:t>指事业单位开展专业业务活动及辅助活动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取得的收入。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3" w:line="360" w:lineRule="auto"/>
        <w:ind w:left="39" w:right="567" w:firstLine="67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经营收入：</w:t>
      </w:r>
      <w:r>
        <w:rPr>
          <w:rFonts w:ascii="仿宋" w:hAnsi="仿宋" w:eastAsia="仿宋" w:cs="仿宋"/>
          <w:spacing w:val="-1"/>
          <w:sz w:val="28"/>
          <w:szCs w:val="28"/>
        </w:rPr>
        <w:t>指事业单位在专业业务活动及其辅助活动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之外开展非独立核算经营活动取得的收入。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" w:line="360" w:lineRule="auto"/>
        <w:ind w:left="34" w:right="888" w:firstLine="67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其他收入：</w:t>
      </w:r>
      <w:r>
        <w:rPr>
          <w:rFonts w:ascii="仿宋" w:hAnsi="仿宋" w:eastAsia="仿宋" w:cs="仿宋"/>
          <w:spacing w:val="-1"/>
          <w:sz w:val="28"/>
          <w:szCs w:val="28"/>
        </w:rPr>
        <w:t>指单位取得的除上述收入以外的各项收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入。主要是按规定动用的售房收入、存款利息收入等。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62" w:line="360" w:lineRule="auto"/>
        <w:ind w:left="31" w:right="564" w:firstLine="678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年初结转和结余：</w:t>
      </w:r>
      <w:r>
        <w:rPr>
          <w:rFonts w:ascii="仿宋" w:hAnsi="仿宋" w:eastAsia="仿宋" w:cs="仿宋"/>
          <w:spacing w:val="-1"/>
          <w:sz w:val="28"/>
          <w:szCs w:val="28"/>
        </w:rPr>
        <w:t>指单位以前年度尚未完成、结转到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本年按有关规定继续使用的资金。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left="38" w:right="567" w:firstLine="662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基本支出：</w:t>
      </w:r>
      <w:r>
        <w:rPr>
          <w:rFonts w:ascii="仿宋" w:hAnsi="仿宋" w:eastAsia="仿宋" w:cs="仿宋"/>
          <w:sz w:val="28"/>
          <w:szCs w:val="28"/>
        </w:rPr>
        <w:t xml:space="preserve">指为保障机构正常运转、完成日常工作任 </w:t>
      </w:r>
      <w:r>
        <w:rPr>
          <w:rFonts w:ascii="仿宋" w:hAnsi="仿宋" w:eastAsia="仿宋" w:cs="仿宋"/>
          <w:spacing w:val="1"/>
          <w:sz w:val="28"/>
          <w:szCs w:val="28"/>
        </w:rPr>
        <w:t>务而发生的人员支出和公用支出。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32" w:line="360" w:lineRule="auto"/>
        <w:ind w:firstLine="661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项目支出：</w:t>
      </w:r>
      <w:r>
        <w:rPr>
          <w:rFonts w:ascii="仿宋" w:hAnsi="仿宋" w:eastAsia="仿宋" w:cs="仿宋"/>
          <w:spacing w:val="-1"/>
          <w:sz w:val="28"/>
          <w:szCs w:val="28"/>
        </w:rPr>
        <w:t>指在基本支出之外为完成特定行政任务和事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285" w:line="360" w:lineRule="auto"/>
        <w:ind w:firstLine="4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业发展目标所发生的支出。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70" w:line="360" w:lineRule="auto"/>
        <w:ind w:firstLine="524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“三公”经费：</w:t>
      </w:r>
      <w:r>
        <w:rPr>
          <w:rFonts w:ascii="仿宋" w:hAnsi="仿宋" w:eastAsia="仿宋" w:cs="仿宋"/>
          <w:spacing w:val="-9"/>
          <w:sz w:val="28"/>
          <w:szCs w:val="28"/>
        </w:rPr>
        <w:t>指省直部门用一般公共预算安排的因公</w:t>
      </w:r>
      <w:r>
        <w:rPr>
          <w:rFonts w:ascii="仿宋" w:hAnsi="仿宋" w:eastAsia="仿宋" w:cs="仿宋"/>
          <w:spacing w:val="8"/>
          <w:w w:val="10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出国（境）费、公务用车购置及运行费和公务接待费。其中，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因公出国（境）费反映单位公务出国（境）的国际旅费、国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8"/>
          <w:sz w:val="28"/>
          <w:szCs w:val="28"/>
        </w:rPr>
        <w:t>外城市间交通费、住宿费、伙食费、培训费、公杂费等支出；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公务用车购置费反映公务用车车辆购置支出（含车辆购置</w:t>
      </w:r>
      <w:r>
        <w:rPr>
          <w:rFonts w:ascii="仿宋" w:hAnsi="仿宋" w:eastAsia="仿宋" w:cs="仿宋"/>
          <w:spacing w:val="6"/>
          <w:w w:val="10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税</w:t>
      </w:r>
      <w:r>
        <w:rPr>
          <w:rFonts w:ascii="仿宋" w:hAnsi="仿宋" w:eastAsia="仿宋" w:cs="仿宋"/>
          <w:spacing w:val="-4"/>
          <w:sz w:val="28"/>
          <w:szCs w:val="28"/>
        </w:rPr>
        <w:t>）；</w:t>
      </w:r>
      <w:r>
        <w:rPr>
          <w:rFonts w:ascii="仿宋" w:hAnsi="仿宋" w:eastAsia="仿宋" w:cs="仿宋"/>
          <w:spacing w:val="-1"/>
          <w:sz w:val="28"/>
          <w:szCs w:val="28"/>
        </w:rPr>
        <w:t>公务用车运行维护费反映单位按规定保留的公务用车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燃料费、维修费、过路过桥费、保险费、安全奖励费用等支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出；公务接待费反映单位按规定开支的各类公务接待（含外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3"/>
          <w:sz w:val="28"/>
          <w:szCs w:val="28"/>
        </w:rPr>
        <w:t>宾接待）支出。</w:t>
      </w:r>
    </w:p>
    <w:p>
      <w:pPr>
        <w:keepNext w:val="0"/>
        <w:keepLines w:val="0"/>
        <w:pageBreakBefore w:val="0"/>
        <w:shd w:val="clear" w:fill="FFFFFF"/>
        <w:wordWrap/>
        <w:overflowPunct/>
        <w:topLinePunct w:val="0"/>
        <w:bidi w:val="0"/>
        <w:spacing w:before="2" w:line="360" w:lineRule="auto"/>
        <w:ind w:left="36" w:right="158" w:firstLine="616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机关运行经费：</w:t>
      </w:r>
      <w:r>
        <w:rPr>
          <w:rFonts w:ascii="仿宋" w:hAnsi="仿宋" w:eastAsia="仿宋" w:cs="仿宋"/>
          <w:spacing w:val="-1"/>
          <w:sz w:val="28"/>
          <w:szCs w:val="28"/>
        </w:rPr>
        <w:t>指行政单位和参照公务员法管理的事业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单位使用一般公共预算安排的基本支出中的日常公用经费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支出。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" w:line="360" w:lineRule="auto"/>
        <w:ind w:firstLine="687"/>
        <w:jc w:val="left"/>
        <w:rPr>
          <w:rFonts w:ascii="仿宋" w:hAnsi="仿宋" w:eastAsia="仿宋" w:cs="仿宋"/>
          <w:spacing w:val="-2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left"/>
        <w:rPr>
          <w:rFonts w:hint="eastAsia"/>
          <w:sz w:val="20"/>
          <w:szCs w:val="20"/>
          <w:lang w:eastAsia="zh-CN"/>
        </w:rPr>
      </w:pPr>
    </w:p>
    <w:sectPr>
      <w:footerReference r:id="rId4" w:type="default"/>
      <w:pgSz w:w="11906" w:h="16839"/>
      <w:pgMar w:top="1431" w:right="1643" w:bottom="1156" w:left="1785" w:header="0" w:footer="103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143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84"/>
      <w:jc w:val="left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CC53A6"/>
    <w:multiLevelType w:val="singleLevel"/>
    <w:tmpl w:val="5DCC53A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6F7BCA"/>
    <w:multiLevelType w:val="singleLevel"/>
    <w:tmpl w:val="7B6F7B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IzZjNiZTMyOTQxZGM4NWIwNDRmZDQ4ZWEwZmEyMzUifQ=="/>
  </w:docVars>
  <w:rsids>
    <w:rsidRoot w:val="00000000"/>
    <w:rsid w:val="00135AF8"/>
    <w:rsid w:val="00CC4F52"/>
    <w:rsid w:val="02EF4350"/>
    <w:rsid w:val="03100BB7"/>
    <w:rsid w:val="03E21E22"/>
    <w:rsid w:val="03E66470"/>
    <w:rsid w:val="04A01BC8"/>
    <w:rsid w:val="07AE3DB1"/>
    <w:rsid w:val="090A398B"/>
    <w:rsid w:val="0B7A6D68"/>
    <w:rsid w:val="0C704D3B"/>
    <w:rsid w:val="0C827BF2"/>
    <w:rsid w:val="0D1C726C"/>
    <w:rsid w:val="10873119"/>
    <w:rsid w:val="109D3B60"/>
    <w:rsid w:val="1134690C"/>
    <w:rsid w:val="11A4527A"/>
    <w:rsid w:val="14F8326D"/>
    <w:rsid w:val="15416EDD"/>
    <w:rsid w:val="15481A05"/>
    <w:rsid w:val="194F6307"/>
    <w:rsid w:val="196D7676"/>
    <w:rsid w:val="19AD4421"/>
    <w:rsid w:val="19BC717C"/>
    <w:rsid w:val="1B6E0B56"/>
    <w:rsid w:val="1D1914C9"/>
    <w:rsid w:val="1D30521A"/>
    <w:rsid w:val="20370E83"/>
    <w:rsid w:val="20BB712F"/>
    <w:rsid w:val="20CE0067"/>
    <w:rsid w:val="257675FA"/>
    <w:rsid w:val="27005BE9"/>
    <w:rsid w:val="27320EB6"/>
    <w:rsid w:val="291B524D"/>
    <w:rsid w:val="29D472C0"/>
    <w:rsid w:val="2BCC2C38"/>
    <w:rsid w:val="2D6F5158"/>
    <w:rsid w:val="2E8F1DAA"/>
    <w:rsid w:val="2EB53C3E"/>
    <w:rsid w:val="2EFE1D10"/>
    <w:rsid w:val="2FF60FBE"/>
    <w:rsid w:val="30E76BE3"/>
    <w:rsid w:val="323236E8"/>
    <w:rsid w:val="339926BB"/>
    <w:rsid w:val="34290F21"/>
    <w:rsid w:val="36C13E72"/>
    <w:rsid w:val="390B655D"/>
    <w:rsid w:val="3A242C96"/>
    <w:rsid w:val="3CE66E6D"/>
    <w:rsid w:val="422C2D82"/>
    <w:rsid w:val="426E64AB"/>
    <w:rsid w:val="42A542AE"/>
    <w:rsid w:val="43007CAB"/>
    <w:rsid w:val="43F81C30"/>
    <w:rsid w:val="455101EF"/>
    <w:rsid w:val="467D31EA"/>
    <w:rsid w:val="46AE01F9"/>
    <w:rsid w:val="48804BEA"/>
    <w:rsid w:val="48865578"/>
    <w:rsid w:val="49246357"/>
    <w:rsid w:val="4B800E05"/>
    <w:rsid w:val="502A798C"/>
    <w:rsid w:val="50A94581"/>
    <w:rsid w:val="50CA0FAF"/>
    <w:rsid w:val="50ED48B6"/>
    <w:rsid w:val="5131465B"/>
    <w:rsid w:val="52E653D8"/>
    <w:rsid w:val="532E7880"/>
    <w:rsid w:val="539E5FE3"/>
    <w:rsid w:val="53B611D5"/>
    <w:rsid w:val="542C55B4"/>
    <w:rsid w:val="55231104"/>
    <w:rsid w:val="561264C1"/>
    <w:rsid w:val="57253E83"/>
    <w:rsid w:val="59E46558"/>
    <w:rsid w:val="5AAC64CF"/>
    <w:rsid w:val="5B74435F"/>
    <w:rsid w:val="5E3044BB"/>
    <w:rsid w:val="5F3C76AD"/>
    <w:rsid w:val="61250453"/>
    <w:rsid w:val="61391F81"/>
    <w:rsid w:val="646C31BA"/>
    <w:rsid w:val="64D74D44"/>
    <w:rsid w:val="689E7135"/>
    <w:rsid w:val="699A1491"/>
    <w:rsid w:val="6A085BE8"/>
    <w:rsid w:val="6B1049DD"/>
    <w:rsid w:val="6B6B1C4E"/>
    <w:rsid w:val="6C1B6D4C"/>
    <w:rsid w:val="6C4330A9"/>
    <w:rsid w:val="6D4100C5"/>
    <w:rsid w:val="727966BB"/>
    <w:rsid w:val="72C26400"/>
    <w:rsid w:val="75C052F4"/>
    <w:rsid w:val="75EE565A"/>
    <w:rsid w:val="766D77A6"/>
    <w:rsid w:val="792A0FFA"/>
    <w:rsid w:val="79731933"/>
    <w:rsid w:val="7CC005CA"/>
    <w:rsid w:val="7E175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3119</Words>
  <Characters>3355</Characters>
  <TotalTime>76</TotalTime>
  <ScaleCrop>false</ScaleCrop>
  <LinksUpToDate>false</LinksUpToDate>
  <CharactersWithSpaces>3545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2020-08-25T16:45:00Z</dcterms:created>
  <dc:creator>段玲 </dc:creator>
  <cp:lastModifiedBy>国库支付</cp:lastModifiedBy>
  <dcterms:modified xsi:type="dcterms:W3CDTF">2024-03-18T07:36:11Z</dcterms:modified>
  <dc:title>山西省财政厅2019年度部门决算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B99D2D49664D4886BA3700EE371A6868</vt:lpwstr>
  </property>
</Properties>
</file>